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590867">
      <w:pPr>
        <w:spacing w:line="520" w:lineRule="exact"/>
        <w:rPr>
          <w:rFonts w:hint="eastAsia" w:ascii="华文中宋" w:hAnsi="华文中宋" w:eastAsia="华文中宋"/>
          <w:b/>
          <w:bCs/>
          <w:sz w:val="36"/>
          <w:szCs w:val="40"/>
        </w:rPr>
      </w:pPr>
      <w:bookmarkStart w:id="0" w:name="_GoBack"/>
      <w:r>
        <w:rPr>
          <w:rFonts w:hint="eastAsia" w:ascii="华文中宋" w:hAnsi="华文中宋" w:eastAsia="华文中宋"/>
          <w:b/>
          <w:bCs/>
          <w:sz w:val="36"/>
          <w:szCs w:val="40"/>
        </w:rPr>
        <w:t>附件：《福清市医院南侧地块详细规划动态维护》的主要内容及规划图纸</w:t>
      </w:r>
      <w:bookmarkEnd w:id="0"/>
    </w:p>
    <w:p w14:paraId="62A41216">
      <w:pPr>
        <w:rPr>
          <w:rFonts w:ascii="仿宋_GB2312" w:eastAsia="仿宋_GB2312"/>
          <w:b/>
          <w:sz w:val="32"/>
          <w:szCs w:val="32"/>
        </w:rPr>
      </w:pPr>
    </w:p>
    <w:p w14:paraId="4B56B873">
      <w:pPr>
        <w:rPr>
          <w:rFonts w:hint="eastAsia" w:ascii="黑体" w:hAnsi="黑体" w:eastAsia="黑体"/>
          <w:b/>
          <w:sz w:val="32"/>
          <w:szCs w:val="32"/>
        </w:rPr>
      </w:pPr>
      <w:r>
        <w:rPr>
          <w:rFonts w:hint="eastAsia" w:ascii="黑体" w:hAnsi="黑体" w:eastAsia="黑体"/>
          <w:b/>
          <w:sz w:val="32"/>
          <w:szCs w:val="32"/>
        </w:rPr>
        <w:t>一、主要内容</w:t>
      </w:r>
    </w:p>
    <w:p w14:paraId="58EEE12D">
      <w:pPr>
        <w:ind w:firstLine="643" w:firstLineChars="200"/>
        <w:rPr>
          <w:rFonts w:ascii="仿宋_GB2312" w:eastAsia="仿宋_GB2312"/>
          <w:b/>
          <w:sz w:val="32"/>
          <w:szCs w:val="32"/>
        </w:rPr>
      </w:pPr>
      <w:r>
        <w:rPr>
          <w:rFonts w:hint="eastAsia" w:ascii="仿宋_GB2312" w:eastAsia="仿宋_GB2312"/>
          <w:b/>
          <w:sz w:val="32"/>
          <w:szCs w:val="32"/>
        </w:rPr>
        <w:t>1、规划范围</w:t>
      </w:r>
    </w:p>
    <w:p w14:paraId="5F416D89">
      <w:pPr>
        <w:ind w:firstLine="640" w:firstLineChars="200"/>
        <w:rPr>
          <w:rFonts w:ascii="仿宋_GB2312" w:eastAsia="仿宋_GB2312"/>
          <w:sz w:val="32"/>
          <w:szCs w:val="32"/>
        </w:rPr>
      </w:pPr>
      <w:r>
        <w:rPr>
          <w:rFonts w:hint="eastAsia" w:ascii="仿宋_GB2312" w:eastAsia="仿宋_GB2312"/>
          <w:sz w:val="32"/>
          <w:szCs w:val="32"/>
        </w:rPr>
        <w:t>项目位于福清市清荣大道北片区南侧的350181-04-D基本单元，北至清泰街，南邻福清市城关小学第四校区，西至绿荫停车场，东接空地。规划总用地面积</w:t>
      </w:r>
      <w:r>
        <w:rPr>
          <w:rFonts w:ascii="仿宋_GB2312" w:eastAsia="仿宋_GB2312"/>
          <w:sz w:val="32"/>
          <w:szCs w:val="32"/>
        </w:rPr>
        <w:t>0.61</w:t>
      </w:r>
      <w:r>
        <w:rPr>
          <w:rFonts w:hint="eastAsia" w:ascii="仿宋_GB2312" w:eastAsia="仿宋_GB2312"/>
          <w:sz w:val="32"/>
          <w:szCs w:val="32"/>
        </w:rPr>
        <w:t>公顷。</w:t>
      </w:r>
    </w:p>
    <w:p w14:paraId="6C141A13">
      <w:pPr>
        <w:ind w:firstLine="643" w:firstLineChars="20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、地块使用性质</w:t>
      </w:r>
    </w:p>
    <w:p w14:paraId="5A394E07">
      <w:pPr>
        <w:ind w:firstLine="640" w:firstLineChars="200"/>
        <w:rPr>
          <w:rFonts w:ascii="仿宋_GB2312" w:eastAsia="仿宋_GB2312"/>
          <w:sz w:val="32"/>
          <w:szCs w:val="32"/>
        </w:rPr>
      </w:pPr>
      <w:r>
        <w:rPr>
          <w:rFonts w:hint="eastAsia" w:ascii="仿宋_GB2312" w:eastAsia="仿宋_GB2312"/>
          <w:sz w:val="32"/>
          <w:szCs w:val="32"/>
        </w:rPr>
        <w:t>规划用地性质分类和代码采用《国土空间调查、规划、用途管制用地用海分类指南》，规划地块</w:t>
      </w:r>
      <w:r>
        <w:rPr>
          <w:rFonts w:ascii="仿宋_GB2312" w:eastAsia="仿宋_GB2312"/>
          <w:sz w:val="32"/>
          <w:szCs w:val="32"/>
        </w:rPr>
        <w:t>350181-04-D-44-01</w:t>
      </w:r>
      <w:r>
        <w:rPr>
          <w:rFonts w:hint="eastAsia" w:ascii="仿宋_GB2312" w:eastAsia="仿宋_GB2312"/>
          <w:sz w:val="32"/>
          <w:szCs w:val="32"/>
        </w:rPr>
        <w:t>用地性质为</w:t>
      </w:r>
      <w:r>
        <w:rPr>
          <w:rFonts w:ascii="仿宋_GB2312" w:eastAsia="仿宋_GB2312"/>
          <w:sz w:val="32"/>
          <w:szCs w:val="32"/>
        </w:rPr>
        <w:t>0901+0904</w:t>
      </w:r>
      <w:r>
        <w:rPr>
          <w:rFonts w:hint="eastAsia" w:ascii="仿宋_GB2312" w:eastAsia="仿宋_GB2312"/>
          <w:sz w:val="32"/>
          <w:szCs w:val="32"/>
        </w:rPr>
        <w:t>（商业及其他服务设施混合用地）。</w:t>
      </w:r>
    </w:p>
    <w:p w14:paraId="63733796">
      <w:pPr>
        <w:spacing w:after="156" w:afterLines="50"/>
        <w:ind w:firstLine="643" w:firstLineChars="200"/>
        <w:rPr>
          <w:rFonts w:ascii="仿宋_GB2312" w:eastAsia="仿宋_GB2312"/>
          <w:b/>
          <w:sz w:val="32"/>
          <w:szCs w:val="32"/>
        </w:rPr>
      </w:pPr>
      <w:r>
        <w:rPr>
          <w:rFonts w:ascii="仿宋_GB2312" w:eastAsia="仿宋_GB2312"/>
          <w:b/>
          <w:sz w:val="32"/>
          <w:szCs w:val="32"/>
        </w:rPr>
        <w:t>3</w:t>
      </w:r>
      <w:r>
        <w:rPr>
          <w:rFonts w:hint="eastAsia" w:ascii="仿宋_GB2312" w:eastAsia="仿宋_GB2312"/>
          <w:b/>
          <w:sz w:val="32"/>
          <w:szCs w:val="32"/>
        </w:rPr>
        <w:t>、地块控制指标</w:t>
      </w:r>
    </w:p>
    <w:tbl>
      <w:tblPr>
        <w:tblStyle w:val="7"/>
        <w:tblW w:w="8269" w:type="dxa"/>
        <w:jc w:val="center"/>
        <w:tblLayout w:type="fixed"/>
        <w:tblCellMar>
          <w:top w:w="0" w:type="dxa"/>
          <w:left w:w="108" w:type="dxa"/>
          <w:bottom w:w="0" w:type="dxa"/>
          <w:right w:w="108" w:type="dxa"/>
        </w:tblCellMar>
      </w:tblPr>
      <w:tblGrid>
        <w:gridCol w:w="988"/>
        <w:gridCol w:w="1304"/>
        <w:gridCol w:w="1300"/>
        <w:gridCol w:w="1077"/>
        <w:gridCol w:w="822"/>
        <w:gridCol w:w="964"/>
        <w:gridCol w:w="850"/>
        <w:gridCol w:w="964"/>
      </w:tblGrid>
      <w:tr w14:paraId="6C988281">
        <w:trPr>
          <w:trHeight w:val="285" w:hRule="atLeast"/>
          <w:jc w:val="center"/>
        </w:trPr>
        <w:tc>
          <w:tcPr>
            <w:tcW w:w="988" w:type="dxa"/>
            <w:tcBorders>
              <w:top w:val="single" w:color="auto" w:sz="4" w:space="0"/>
              <w:left w:val="single" w:color="auto" w:sz="4" w:space="0"/>
              <w:bottom w:val="single" w:color="auto" w:sz="4" w:space="0"/>
              <w:right w:val="single" w:color="auto" w:sz="4" w:space="0"/>
            </w:tcBorders>
            <w:noWrap/>
            <w:vAlign w:val="center"/>
          </w:tcPr>
          <w:p w14:paraId="5628558D">
            <w:pPr>
              <w:pStyle w:val="14"/>
              <w:spacing w:before="0" w:after="0"/>
              <w:ind w:left="0" w:leftChars="0" w:right="0" w:rightChars="0"/>
              <w:rPr>
                <w:rFonts w:hint="eastAsia" w:ascii="仿宋_GB2312" w:hAnsi="仿宋" w:eastAsia="仿宋_GB2312"/>
                <w:b/>
                <w:bCs/>
                <w:sz w:val="24"/>
              </w:rPr>
            </w:pPr>
            <w:r>
              <w:rPr>
                <w:rFonts w:hint="eastAsia" w:ascii="仿宋_GB2312" w:hAnsi="仿宋" w:eastAsia="仿宋_GB2312"/>
                <w:b/>
                <w:bCs/>
                <w:sz w:val="24"/>
              </w:rPr>
              <w:t>地块编号</w:t>
            </w:r>
          </w:p>
        </w:tc>
        <w:tc>
          <w:tcPr>
            <w:tcW w:w="1304" w:type="dxa"/>
            <w:tcBorders>
              <w:top w:val="single" w:color="auto" w:sz="4" w:space="0"/>
              <w:left w:val="nil"/>
              <w:bottom w:val="single" w:color="auto" w:sz="4" w:space="0"/>
              <w:right w:val="single" w:color="auto" w:sz="4" w:space="0"/>
            </w:tcBorders>
            <w:noWrap/>
            <w:vAlign w:val="center"/>
          </w:tcPr>
          <w:p w14:paraId="6466D6D1">
            <w:pPr>
              <w:pStyle w:val="14"/>
              <w:spacing w:before="0" w:after="0"/>
              <w:ind w:left="0" w:leftChars="0" w:right="0" w:rightChars="0"/>
              <w:rPr>
                <w:rFonts w:hint="eastAsia" w:ascii="仿宋_GB2312" w:hAnsi="仿宋" w:eastAsia="仿宋_GB2312"/>
                <w:b/>
                <w:bCs/>
                <w:sz w:val="24"/>
              </w:rPr>
            </w:pPr>
            <w:r>
              <w:rPr>
                <w:rFonts w:hint="eastAsia" w:ascii="仿宋_GB2312" w:hAnsi="仿宋" w:eastAsia="仿宋_GB2312"/>
                <w:b/>
                <w:bCs/>
                <w:sz w:val="24"/>
              </w:rPr>
              <w:t>用地用海分类代码</w:t>
            </w:r>
          </w:p>
        </w:tc>
        <w:tc>
          <w:tcPr>
            <w:tcW w:w="1300" w:type="dxa"/>
            <w:tcBorders>
              <w:top w:val="single" w:color="auto" w:sz="4" w:space="0"/>
              <w:left w:val="nil"/>
              <w:bottom w:val="single" w:color="auto" w:sz="4" w:space="0"/>
              <w:right w:val="single" w:color="auto" w:sz="4" w:space="0"/>
            </w:tcBorders>
            <w:noWrap/>
            <w:vAlign w:val="center"/>
          </w:tcPr>
          <w:p w14:paraId="584BEC89">
            <w:pPr>
              <w:pStyle w:val="14"/>
              <w:spacing w:before="0" w:after="0"/>
              <w:ind w:left="0" w:leftChars="0" w:right="0" w:rightChars="0"/>
              <w:rPr>
                <w:rFonts w:hint="eastAsia" w:ascii="仿宋_GB2312" w:hAnsi="仿宋" w:eastAsia="仿宋_GB2312"/>
                <w:b/>
                <w:bCs/>
                <w:sz w:val="24"/>
              </w:rPr>
            </w:pPr>
            <w:r>
              <w:rPr>
                <w:rFonts w:hint="eastAsia" w:ascii="仿宋_GB2312" w:hAnsi="仿宋" w:eastAsia="仿宋_GB2312"/>
                <w:b/>
                <w:bCs/>
                <w:sz w:val="24"/>
              </w:rPr>
              <w:t>用地用海分类名称</w:t>
            </w:r>
          </w:p>
        </w:tc>
        <w:tc>
          <w:tcPr>
            <w:tcW w:w="1077" w:type="dxa"/>
            <w:tcBorders>
              <w:top w:val="single" w:color="auto" w:sz="4" w:space="0"/>
              <w:left w:val="nil"/>
              <w:bottom w:val="single" w:color="auto" w:sz="4" w:space="0"/>
              <w:right w:val="single" w:color="auto" w:sz="4" w:space="0"/>
            </w:tcBorders>
            <w:noWrap/>
            <w:vAlign w:val="center"/>
          </w:tcPr>
          <w:p w14:paraId="73BE3116">
            <w:pPr>
              <w:pStyle w:val="14"/>
              <w:spacing w:before="0" w:after="0"/>
              <w:ind w:left="0" w:leftChars="0" w:right="0" w:rightChars="0"/>
              <w:rPr>
                <w:rFonts w:hint="eastAsia" w:ascii="仿宋_GB2312" w:hAnsi="仿宋" w:eastAsia="仿宋_GB2312"/>
                <w:b/>
                <w:bCs/>
                <w:sz w:val="24"/>
              </w:rPr>
            </w:pPr>
            <w:r>
              <w:rPr>
                <w:rFonts w:hint="eastAsia" w:ascii="仿宋_GB2312" w:hAnsi="仿宋" w:eastAsia="仿宋_GB2312"/>
                <w:b/>
                <w:bCs/>
                <w:sz w:val="24"/>
              </w:rPr>
              <w:t>用地面积(m</w:t>
            </w:r>
            <w:r>
              <w:rPr>
                <w:rFonts w:ascii="仿宋_GB2312" w:hAnsi="仿宋" w:eastAsia="仿宋_GB2312"/>
                <w:b/>
                <w:bCs/>
                <w:sz w:val="24"/>
                <w:vertAlign w:val="superscript"/>
              </w:rPr>
              <w:t>2</w:t>
            </w:r>
            <w:r>
              <w:rPr>
                <w:rFonts w:hint="eastAsia" w:ascii="仿宋_GB2312" w:hAnsi="仿宋" w:eastAsia="仿宋_GB2312"/>
                <w:b/>
                <w:bCs/>
                <w:sz w:val="24"/>
              </w:rPr>
              <w:t>)</w:t>
            </w:r>
          </w:p>
        </w:tc>
        <w:tc>
          <w:tcPr>
            <w:tcW w:w="822" w:type="dxa"/>
            <w:tcBorders>
              <w:top w:val="single" w:color="auto" w:sz="4" w:space="0"/>
              <w:left w:val="nil"/>
              <w:bottom w:val="single" w:color="auto" w:sz="4" w:space="0"/>
              <w:right w:val="single" w:color="auto" w:sz="4" w:space="0"/>
            </w:tcBorders>
            <w:noWrap/>
            <w:vAlign w:val="center"/>
          </w:tcPr>
          <w:p w14:paraId="626E19B8">
            <w:pPr>
              <w:pStyle w:val="14"/>
              <w:spacing w:before="0" w:after="0"/>
              <w:ind w:left="0" w:leftChars="0" w:right="0" w:rightChars="0"/>
              <w:rPr>
                <w:rFonts w:hint="eastAsia" w:ascii="仿宋_GB2312" w:hAnsi="仿宋" w:eastAsia="仿宋_GB2312"/>
                <w:b/>
                <w:bCs/>
                <w:sz w:val="24"/>
              </w:rPr>
            </w:pPr>
            <w:r>
              <w:rPr>
                <w:rFonts w:hint="eastAsia" w:ascii="仿宋_GB2312" w:hAnsi="仿宋" w:eastAsia="仿宋_GB2312"/>
                <w:b/>
                <w:bCs/>
                <w:sz w:val="24"/>
              </w:rPr>
              <w:t>容积率</w:t>
            </w:r>
          </w:p>
        </w:tc>
        <w:tc>
          <w:tcPr>
            <w:tcW w:w="964" w:type="dxa"/>
            <w:tcBorders>
              <w:top w:val="single" w:color="auto" w:sz="4" w:space="0"/>
              <w:left w:val="nil"/>
              <w:bottom w:val="single" w:color="auto" w:sz="4" w:space="0"/>
              <w:right w:val="single" w:color="auto" w:sz="4" w:space="0"/>
            </w:tcBorders>
            <w:noWrap/>
            <w:vAlign w:val="center"/>
          </w:tcPr>
          <w:p w14:paraId="34DD8415">
            <w:pPr>
              <w:pStyle w:val="14"/>
              <w:spacing w:before="0" w:after="0"/>
              <w:ind w:left="0" w:leftChars="0" w:right="0" w:rightChars="0"/>
              <w:rPr>
                <w:rFonts w:hint="eastAsia" w:ascii="仿宋_GB2312" w:hAnsi="仿宋" w:eastAsia="仿宋_GB2312"/>
                <w:b/>
                <w:bCs/>
                <w:sz w:val="24"/>
              </w:rPr>
            </w:pPr>
            <w:r>
              <w:rPr>
                <w:rFonts w:hint="eastAsia" w:ascii="仿宋_GB2312" w:hAnsi="仿宋" w:eastAsia="仿宋_GB2312"/>
                <w:b/>
                <w:bCs/>
                <w:sz w:val="24"/>
              </w:rPr>
              <w:t>建筑密度(%)</w:t>
            </w:r>
          </w:p>
        </w:tc>
        <w:tc>
          <w:tcPr>
            <w:tcW w:w="850" w:type="dxa"/>
            <w:tcBorders>
              <w:top w:val="single" w:color="auto" w:sz="4" w:space="0"/>
              <w:left w:val="nil"/>
              <w:bottom w:val="single" w:color="auto" w:sz="4" w:space="0"/>
              <w:right w:val="single" w:color="auto" w:sz="4" w:space="0"/>
            </w:tcBorders>
            <w:noWrap/>
            <w:vAlign w:val="center"/>
          </w:tcPr>
          <w:p w14:paraId="3120E41C">
            <w:pPr>
              <w:pStyle w:val="14"/>
              <w:spacing w:before="0" w:after="0"/>
              <w:ind w:left="0" w:leftChars="0" w:right="0" w:rightChars="0"/>
              <w:rPr>
                <w:rFonts w:hint="eastAsia" w:ascii="仿宋_GB2312" w:hAnsi="仿宋" w:eastAsia="仿宋_GB2312"/>
                <w:b/>
                <w:bCs/>
                <w:sz w:val="24"/>
              </w:rPr>
            </w:pPr>
            <w:r>
              <w:rPr>
                <w:rFonts w:hint="eastAsia" w:ascii="仿宋_GB2312" w:hAnsi="仿宋" w:eastAsia="仿宋_GB2312"/>
                <w:b/>
                <w:bCs/>
                <w:sz w:val="24"/>
              </w:rPr>
              <w:t>绿地率(%)</w:t>
            </w:r>
          </w:p>
        </w:tc>
        <w:tc>
          <w:tcPr>
            <w:tcW w:w="964" w:type="dxa"/>
            <w:tcBorders>
              <w:top w:val="single" w:color="auto" w:sz="4" w:space="0"/>
              <w:left w:val="nil"/>
              <w:bottom w:val="single" w:color="auto" w:sz="4" w:space="0"/>
              <w:right w:val="single" w:color="auto" w:sz="4" w:space="0"/>
            </w:tcBorders>
            <w:noWrap/>
            <w:vAlign w:val="center"/>
          </w:tcPr>
          <w:p w14:paraId="55DBCEC7">
            <w:pPr>
              <w:pStyle w:val="14"/>
              <w:spacing w:before="0" w:after="0"/>
              <w:ind w:left="0" w:leftChars="0" w:right="0" w:rightChars="0"/>
              <w:rPr>
                <w:rFonts w:hint="eastAsia" w:ascii="仿宋_GB2312" w:hAnsi="仿宋" w:eastAsia="仿宋_GB2312"/>
                <w:b/>
                <w:bCs/>
                <w:sz w:val="24"/>
              </w:rPr>
            </w:pPr>
            <w:r>
              <w:rPr>
                <w:rFonts w:hint="eastAsia" w:ascii="仿宋_GB2312" w:hAnsi="仿宋" w:eastAsia="仿宋_GB2312"/>
                <w:b/>
                <w:bCs/>
                <w:sz w:val="24"/>
              </w:rPr>
              <w:t>建筑限高(m)</w:t>
            </w:r>
          </w:p>
        </w:tc>
      </w:tr>
      <w:tr w14:paraId="032ABA95">
        <w:trPr>
          <w:trHeight w:val="285" w:hRule="atLeast"/>
          <w:jc w:val="center"/>
        </w:trPr>
        <w:tc>
          <w:tcPr>
            <w:tcW w:w="988" w:type="dxa"/>
            <w:tcBorders>
              <w:top w:val="single" w:color="auto" w:sz="4" w:space="0"/>
              <w:left w:val="single" w:color="auto" w:sz="4" w:space="0"/>
              <w:bottom w:val="single" w:color="auto" w:sz="4" w:space="0"/>
              <w:right w:val="single" w:color="auto" w:sz="4" w:space="0"/>
            </w:tcBorders>
            <w:noWrap/>
            <w:vAlign w:val="center"/>
          </w:tcPr>
          <w:p w14:paraId="31D38361">
            <w:pPr>
              <w:pStyle w:val="14"/>
              <w:spacing w:before="0" w:after="0"/>
              <w:ind w:left="0" w:leftChars="0" w:right="0" w:rightChars="0"/>
              <w:rPr>
                <w:rFonts w:hint="eastAsia" w:ascii="仿宋_GB2312" w:hAnsi="仿宋" w:eastAsia="仿宋_GB2312"/>
                <w:sz w:val="24"/>
              </w:rPr>
            </w:pPr>
            <w:r>
              <w:rPr>
                <w:rFonts w:ascii="仿宋_GB2312" w:hAnsi="仿宋" w:eastAsia="仿宋_GB2312"/>
                <w:sz w:val="24"/>
              </w:rPr>
              <w:t>350181-04-D-44-01</w:t>
            </w:r>
          </w:p>
        </w:tc>
        <w:tc>
          <w:tcPr>
            <w:tcW w:w="1304" w:type="dxa"/>
            <w:tcBorders>
              <w:top w:val="single" w:color="auto" w:sz="4" w:space="0"/>
              <w:left w:val="nil"/>
              <w:bottom w:val="single" w:color="auto" w:sz="4" w:space="0"/>
              <w:right w:val="single" w:color="auto" w:sz="4" w:space="0"/>
            </w:tcBorders>
            <w:noWrap/>
            <w:vAlign w:val="center"/>
          </w:tcPr>
          <w:p w14:paraId="1A63E51A">
            <w:pPr>
              <w:pStyle w:val="14"/>
              <w:spacing w:before="0" w:after="0"/>
              <w:ind w:left="0" w:leftChars="0" w:right="0" w:rightChars="0"/>
              <w:rPr>
                <w:rFonts w:hint="eastAsia" w:ascii="仿宋_GB2312" w:hAnsi="仿宋" w:eastAsia="仿宋_GB2312"/>
                <w:sz w:val="24"/>
              </w:rPr>
            </w:pPr>
            <w:r>
              <w:rPr>
                <w:rFonts w:ascii="仿宋_GB2312" w:hAnsi="仿宋" w:eastAsia="仿宋_GB2312"/>
                <w:sz w:val="24"/>
              </w:rPr>
              <w:t>0901+0904</w:t>
            </w:r>
          </w:p>
        </w:tc>
        <w:tc>
          <w:tcPr>
            <w:tcW w:w="1300" w:type="dxa"/>
            <w:tcBorders>
              <w:top w:val="single" w:color="auto" w:sz="4" w:space="0"/>
              <w:left w:val="nil"/>
              <w:bottom w:val="single" w:color="auto" w:sz="4" w:space="0"/>
              <w:right w:val="single" w:color="auto" w:sz="4" w:space="0"/>
            </w:tcBorders>
            <w:noWrap/>
            <w:vAlign w:val="center"/>
          </w:tcPr>
          <w:p w14:paraId="0558C727">
            <w:pPr>
              <w:pStyle w:val="14"/>
              <w:spacing w:before="0" w:after="0"/>
              <w:ind w:left="0" w:leftChars="0" w:right="0" w:rightChars="0"/>
              <w:rPr>
                <w:rFonts w:hint="eastAsia" w:ascii="仿宋_GB2312" w:hAnsi="仿宋" w:eastAsia="仿宋_GB2312"/>
                <w:sz w:val="24"/>
              </w:rPr>
            </w:pPr>
            <w:r>
              <w:rPr>
                <w:rFonts w:hint="eastAsia" w:ascii="仿宋_GB2312" w:hAnsi="仿宋" w:eastAsia="仿宋_GB2312"/>
                <w:sz w:val="24"/>
              </w:rPr>
              <w:t>商业及其他服务设施混合用地</w:t>
            </w:r>
          </w:p>
        </w:tc>
        <w:tc>
          <w:tcPr>
            <w:tcW w:w="1077" w:type="dxa"/>
            <w:tcBorders>
              <w:top w:val="single" w:color="auto" w:sz="4" w:space="0"/>
              <w:left w:val="nil"/>
              <w:bottom w:val="single" w:color="auto" w:sz="4" w:space="0"/>
              <w:right w:val="single" w:color="auto" w:sz="4" w:space="0"/>
            </w:tcBorders>
            <w:noWrap/>
            <w:vAlign w:val="center"/>
          </w:tcPr>
          <w:p w14:paraId="39DCD931">
            <w:pPr>
              <w:pStyle w:val="14"/>
              <w:spacing w:before="0" w:after="0"/>
              <w:ind w:left="0" w:leftChars="0" w:right="0" w:rightChars="0"/>
              <w:rPr>
                <w:rFonts w:hint="eastAsia" w:ascii="仿宋_GB2312" w:hAnsi="仿宋" w:eastAsia="仿宋_GB2312"/>
                <w:sz w:val="24"/>
              </w:rPr>
            </w:pPr>
            <w:r>
              <w:rPr>
                <w:rFonts w:ascii="仿宋_GB2312" w:hAnsi="仿宋" w:eastAsia="仿宋_GB2312"/>
                <w:sz w:val="24"/>
              </w:rPr>
              <w:t>6145.59</w:t>
            </w:r>
          </w:p>
        </w:tc>
        <w:tc>
          <w:tcPr>
            <w:tcW w:w="822" w:type="dxa"/>
            <w:tcBorders>
              <w:top w:val="single" w:color="auto" w:sz="4" w:space="0"/>
              <w:left w:val="nil"/>
              <w:bottom w:val="single" w:color="auto" w:sz="4" w:space="0"/>
              <w:right w:val="single" w:color="auto" w:sz="4" w:space="0"/>
            </w:tcBorders>
            <w:noWrap/>
            <w:vAlign w:val="center"/>
          </w:tcPr>
          <w:p w14:paraId="68850537">
            <w:pPr>
              <w:pStyle w:val="14"/>
              <w:spacing w:before="0" w:after="0"/>
              <w:ind w:left="0" w:leftChars="0" w:right="0" w:rightChars="0"/>
              <w:rPr>
                <w:rFonts w:hint="eastAsia" w:ascii="仿宋_GB2312" w:hAnsi="仿宋" w:eastAsia="仿宋_GB2312"/>
                <w:sz w:val="24"/>
              </w:rPr>
            </w:pPr>
            <w:r>
              <w:rPr>
                <w:rFonts w:hint="eastAsia" w:ascii="仿宋_GB2312" w:hAnsi="仿宋" w:eastAsia="仿宋_GB2312"/>
                <w:sz w:val="24"/>
              </w:rPr>
              <w:t>≤</w:t>
            </w:r>
            <w:r>
              <w:rPr>
                <w:rFonts w:ascii="仿宋_GB2312" w:hAnsi="仿宋" w:eastAsia="仿宋_GB2312"/>
                <w:sz w:val="24"/>
              </w:rPr>
              <w:t>3.8</w:t>
            </w:r>
          </w:p>
        </w:tc>
        <w:tc>
          <w:tcPr>
            <w:tcW w:w="964" w:type="dxa"/>
            <w:tcBorders>
              <w:top w:val="single" w:color="auto" w:sz="4" w:space="0"/>
              <w:left w:val="nil"/>
              <w:bottom w:val="single" w:color="auto" w:sz="4" w:space="0"/>
              <w:right w:val="single" w:color="auto" w:sz="4" w:space="0"/>
            </w:tcBorders>
            <w:noWrap/>
            <w:vAlign w:val="center"/>
          </w:tcPr>
          <w:p w14:paraId="5225F5B5">
            <w:pPr>
              <w:pStyle w:val="14"/>
              <w:spacing w:before="0" w:after="0"/>
              <w:ind w:left="0" w:leftChars="0" w:right="0" w:rightChars="0"/>
              <w:rPr>
                <w:rFonts w:hint="eastAsia" w:ascii="仿宋_GB2312" w:hAnsi="仿宋" w:eastAsia="仿宋_GB2312"/>
                <w:sz w:val="24"/>
              </w:rPr>
            </w:pPr>
            <w:r>
              <w:rPr>
                <w:rFonts w:hint="eastAsia" w:ascii="仿宋_GB2312" w:hAnsi="仿宋" w:eastAsia="仿宋_GB2312"/>
                <w:sz w:val="24"/>
              </w:rPr>
              <w:t>≤</w:t>
            </w:r>
            <w:r>
              <w:rPr>
                <w:rFonts w:ascii="仿宋_GB2312" w:hAnsi="仿宋" w:eastAsia="仿宋_GB2312"/>
                <w:sz w:val="24"/>
              </w:rPr>
              <w:t>50</w:t>
            </w:r>
          </w:p>
        </w:tc>
        <w:tc>
          <w:tcPr>
            <w:tcW w:w="850" w:type="dxa"/>
            <w:tcBorders>
              <w:top w:val="single" w:color="auto" w:sz="4" w:space="0"/>
              <w:left w:val="nil"/>
              <w:bottom w:val="single" w:color="auto" w:sz="4" w:space="0"/>
              <w:right w:val="single" w:color="auto" w:sz="4" w:space="0"/>
            </w:tcBorders>
            <w:noWrap/>
            <w:vAlign w:val="center"/>
          </w:tcPr>
          <w:p w14:paraId="154FFBB8">
            <w:pPr>
              <w:pStyle w:val="14"/>
              <w:spacing w:before="0" w:after="0"/>
              <w:ind w:left="0" w:leftChars="0" w:right="0" w:rightChars="0"/>
              <w:rPr>
                <w:rFonts w:hint="eastAsia" w:ascii="仿宋_GB2312" w:hAnsi="仿宋" w:eastAsia="仿宋_GB2312"/>
                <w:sz w:val="24"/>
              </w:rPr>
            </w:pPr>
            <w:r>
              <w:rPr>
                <w:rFonts w:hint="eastAsia" w:ascii="仿宋_GB2312" w:hAnsi="仿宋" w:eastAsia="仿宋_GB2312"/>
                <w:sz w:val="24"/>
              </w:rPr>
              <w:t>≥2</w:t>
            </w:r>
            <w:r>
              <w:rPr>
                <w:rFonts w:ascii="仿宋_GB2312" w:hAnsi="仿宋" w:eastAsia="仿宋_GB2312"/>
                <w:sz w:val="24"/>
              </w:rPr>
              <w:t>1</w:t>
            </w:r>
          </w:p>
        </w:tc>
        <w:tc>
          <w:tcPr>
            <w:tcW w:w="964" w:type="dxa"/>
            <w:tcBorders>
              <w:top w:val="single" w:color="auto" w:sz="4" w:space="0"/>
              <w:left w:val="nil"/>
              <w:bottom w:val="single" w:color="auto" w:sz="4" w:space="0"/>
              <w:right w:val="single" w:color="auto" w:sz="4" w:space="0"/>
            </w:tcBorders>
            <w:noWrap/>
            <w:vAlign w:val="center"/>
          </w:tcPr>
          <w:p w14:paraId="387888F4">
            <w:pPr>
              <w:pStyle w:val="14"/>
              <w:spacing w:before="0" w:after="0"/>
              <w:ind w:left="0" w:leftChars="0" w:right="0" w:rightChars="0"/>
              <w:rPr>
                <w:rFonts w:hint="eastAsia" w:ascii="仿宋_GB2312" w:hAnsi="仿宋" w:eastAsia="仿宋_GB2312"/>
                <w:sz w:val="24"/>
              </w:rPr>
            </w:pPr>
            <w:r>
              <w:rPr>
                <w:rFonts w:hint="eastAsia" w:ascii="仿宋_GB2312" w:hAnsi="仿宋" w:eastAsia="仿宋_GB2312"/>
                <w:sz w:val="24"/>
              </w:rPr>
              <w:t>36</w:t>
            </w:r>
          </w:p>
        </w:tc>
      </w:tr>
    </w:tbl>
    <w:p w14:paraId="283D19A1">
      <w:pPr>
        <w:spacing w:before="156" w:beforeLines="50"/>
        <w:ind w:firstLine="643" w:firstLineChars="200"/>
        <w:rPr>
          <w:rFonts w:ascii="仿宋_GB2312" w:eastAsia="仿宋_GB2312"/>
          <w:b/>
          <w:sz w:val="32"/>
          <w:szCs w:val="32"/>
        </w:rPr>
      </w:pPr>
      <w:r>
        <w:rPr>
          <w:rFonts w:hint="eastAsia" w:ascii="仿宋_GB2312" w:eastAsia="仿宋_GB2312"/>
          <w:b/>
          <w:sz w:val="32"/>
          <w:szCs w:val="32"/>
        </w:rPr>
        <w:t>4、功能调整合理性</w:t>
      </w:r>
    </w:p>
    <w:p w14:paraId="4B0CF002">
      <w:pPr>
        <w:ind w:firstLine="640" w:firstLineChars="200"/>
        <w:rPr>
          <w:rFonts w:ascii="仿宋_GB2312" w:eastAsia="仿宋_GB2312"/>
          <w:sz w:val="32"/>
          <w:szCs w:val="32"/>
        </w:rPr>
      </w:pPr>
      <w:r>
        <w:rPr>
          <w:rFonts w:hint="eastAsia" w:ascii="仿宋_GB2312" w:eastAsia="仿宋_GB2312"/>
          <w:sz w:val="32"/>
          <w:szCs w:val="32"/>
        </w:rPr>
        <w:t>一是符合政策管控要求。本次调整严格落实经营性用地管控要求，调整商务金融用地比例，符合现行政策规定，为地块报批提供合规支撑，保障项目顺利推进。二是用地功能定位合理。拟调整地块所在的清荣大道北片区是集生态宜居、便捷宜业、文化展示、特色塑造等多功能为一体的福清城市西部门户的核心区。调整为商业及其他服务设施混合用地后可为医院及周边居民提供商业配套服务，功能定位与区位条件相适应。三是配套设施完善。拟调整地块周边路网已建成，给排水、电力、通信等市政管网配套齐全，可满足调整后地块开发建设需求，具备良好的实施条件。</w:t>
      </w:r>
    </w:p>
    <w:p w14:paraId="7E8C9DBB">
      <w:pPr>
        <w:ind w:firstLine="643" w:firstLineChars="200"/>
        <w:rPr>
          <w:rFonts w:ascii="仿宋_GB2312" w:eastAsia="仿宋_GB2312"/>
          <w:b/>
          <w:sz w:val="32"/>
          <w:szCs w:val="32"/>
        </w:rPr>
      </w:pPr>
      <w:r>
        <w:rPr>
          <w:rFonts w:hint="eastAsia" w:ascii="仿宋_GB2312" w:eastAsia="仿宋_GB2312"/>
          <w:b/>
          <w:sz w:val="32"/>
          <w:szCs w:val="32"/>
        </w:rPr>
        <w:t>5、开发强度合理性</w:t>
      </w:r>
    </w:p>
    <w:p w14:paraId="738BFA14">
      <w:pPr>
        <w:ind w:firstLine="640" w:firstLineChars="200"/>
        <w:rPr>
          <w:rFonts w:ascii="仿宋_GB2312" w:eastAsia="仿宋_GB2312"/>
          <w:sz w:val="32"/>
          <w:szCs w:val="32"/>
        </w:rPr>
      </w:pPr>
      <w:r>
        <w:rPr>
          <w:rFonts w:hint="eastAsia" w:ascii="仿宋_GB2312" w:eastAsia="仿宋_GB2312"/>
          <w:sz w:val="32"/>
          <w:szCs w:val="32"/>
        </w:rPr>
        <w:t>用地指标符合《福建省城市规划管理技术规定》《福州市国土空间规划管理技术规定（试行）》等规范。</w:t>
      </w:r>
    </w:p>
    <w:p w14:paraId="3109337C">
      <w:pPr>
        <w:rPr>
          <w:rFonts w:hint="eastAsia" w:ascii="黑体" w:hAnsi="黑体" w:eastAsia="黑体"/>
          <w:b/>
          <w:sz w:val="32"/>
          <w:szCs w:val="32"/>
        </w:rPr>
      </w:pPr>
      <w:r>
        <w:rPr>
          <w:rFonts w:hint="eastAsia" w:ascii="黑体" w:hAnsi="黑体" w:eastAsia="黑体"/>
          <w:b/>
          <w:sz w:val="32"/>
          <w:szCs w:val="32"/>
        </w:rPr>
        <w:t>二、规划图纸</w:t>
      </w:r>
    </w:p>
    <w:p w14:paraId="4908F62F">
      <w:pPr>
        <w:ind w:firstLine="643" w:firstLineChars="200"/>
        <w:rPr>
          <w:rFonts w:ascii="仿宋_GB2312" w:eastAsia="仿宋_GB2312"/>
          <w:b/>
          <w:sz w:val="32"/>
          <w:szCs w:val="32"/>
        </w:rPr>
      </w:pPr>
      <w:r>
        <w:rPr>
          <w:rFonts w:hint="eastAsia" w:ascii="仿宋_GB2312" w:eastAsia="仿宋_GB2312"/>
          <w:b/>
          <w:sz w:val="32"/>
          <w:szCs w:val="32"/>
        </w:rPr>
        <w:t>1、调整土地利用规划图</w:t>
      </w:r>
    </w:p>
    <w:p w14:paraId="77D9569E">
      <w:pPr>
        <w:ind w:left="-210" w:leftChars="-100" w:right="-210" w:rightChars="-100"/>
        <w:jc w:val="center"/>
        <w:rPr>
          <w:rFonts w:ascii="仿宋_GB2312" w:eastAsia="仿宋_GB2312"/>
          <w:b/>
          <w:sz w:val="32"/>
          <w:szCs w:val="32"/>
        </w:rPr>
      </w:pPr>
      <w:r>
        <w:rPr>
          <w:rFonts w:ascii="仿宋_GB2312" w:eastAsia="仿宋_GB2312"/>
          <w:b/>
          <w:sz w:val="32"/>
          <w:szCs w:val="32"/>
        </w:rPr>
        <w:drawing>
          <wp:inline distT="0" distB="0" distL="0" distR="0">
            <wp:extent cx="2722880" cy="1763395"/>
            <wp:effectExtent l="0" t="0" r="127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a:xfrm>
                      <a:off x="0" y="0"/>
                      <a:ext cx="2723429" cy="1764000"/>
                    </a:xfrm>
                    <a:prstGeom prst="rect">
                      <a:avLst/>
                    </a:prstGeom>
                    <a:noFill/>
                    <a:ln>
                      <a:noFill/>
                    </a:ln>
                  </pic:spPr>
                </pic:pic>
              </a:graphicData>
            </a:graphic>
          </wp:inline>
        </w:drawing>
      </w:r>
      <w:r>
        <w:rPr>
          <w:rFonts w:ascii="仿宋_GB2312" w:eastAsia="仿宋_GB2312"/>
          <w:b/>
          <w:sz w:val="28"/>
          <w:szCs w:val="32"/>
        </w:rPr>
        <w:t xml:space="preserve"> </w:t>
      </w:r>
      <w:r>
        <w:rPr>
          <w:rFonts w:ascii="仿宋_GB2312" w:eastAsia="仿宋_GB2312"/>
          <w:b/>
          <w:sz w:val="32"/>
          <w:szCs w:val="32"/>
        </w:rPr>
        <w:drawing>
          <wp:inline distT="0" distB="0" distL="0" distR="0">
            <wp:extent cx="2722880" cy="1763395"/>
            <wp:effectExtent l="0" t="0" r="1270"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a:xfrm>
                      <a:off x="0" y="0"/>
                      <a:ext cx="2723429" cy="1764000"/>
                    </a:xfrm>
                    <a:prstGeom prst="rect">
                      <a:avLst/>
                    </a:prstGeom>
                    <a:noFill/>
                    <a:ln>
                      <a:noFill/>
                    </a:ln>
                  </pic:spPr>
                </pic:pic>
              </a:graphicData>
            </a:graphic>
          </wp:inline>
        </w:drawing>
      </w:r>
    </w:p>
    <w:p w14:paraId="28B2E439">
      <w:pPr>
        <w:jc w:val="center"/>
        <w:rPr>
          <w:rFonts w:ascii="仿宋_GB2312" w:eastAsia="仿宋_GB2312"/>
          <w:b/>
          <w:sz w:val="32"/>
          <w:szCs w:val="32"/>
        </w:rPr>
      </w:pPr>
      <w:r>
        <w:rPr>
          <w:rFonts w:hint="eastAsia" w:ascii="仿宋_GB2312" w:eastAsia="仿宋_GB2312"/>
          <w:sz w:val="32"/>
          <w:szCs w:val="32"/>
        </w:rPr>
        <w:t xml:space="preserve">原控规方案 </w:t>
      </w:r>
      <w:r>
        <w:rPr>
          <w:rFonts w:ascii="仿宋_GB2312" w:eastAsia="仿宋_GB2312"/>
          <w:sz w:val="32"/>
          <w:szCs w:val="32"/>
        </w:rPr>
        <w:t xml:space="preserve">                 </w:t>
      </w:r>
      <w:r>
        <w:rPr>
          <w:rFonts w:hint="eastAsia" w:ascii="仿宋_GB2312" w:eastAsia="仿宋_GB2312"/>
          <w:sz w:val="32"/>
          <w:szCs w:val="32"/>
        </w:rPr>
        <w:t>调整后方案</w:t>
      </w:r>
    </w:p>
    <w:p w14:paraId="67DCDAAA">
      <w:pPr>
        <w:widowControl/>
        <w:jc w:val="left"/>
        <w:rPr>
          <w:rFonts w:ascii="仿宋_GB2312" w:eastAsia="仿宋_GB2312"/>
          <w:b/>
          <w:sz w:val="32"/>
          <w:szCs w:val="32"/>
        </w:rPr>
      </w:pPr>
      <w:r>
        <w:rPr>
          <w:rFonts w:ascii="仿宋_GB2312" w:eastAsia="仿宋_GB2312"/>
          <w:b/>
          <w:sz w:val="32"/>
          <w:szCs w:val="32"/>
        </w:rPr>
        <w:br w:type="page"/>
      </w:r>
    </w:p>
    <w:p w14:paraId="6263C1AC">
      <w:pPr>
        <w:ind w:firstLine="643" w:firstLineChars="20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、地块图则</w:t>
      </w:r>
    </w:p>
    <w:p w14:paraId="2809CC50">
      <w:r>
        <w:rPr>
          <w:rFonts w:ascii="仿宋_GB2312" w:eastAsia="仿宋_GB2312"/>
          <w:b/>
          <w:sz w:val="32"/>
          <w:szCs w:val="32"/>
        </w:rPr>
        <w:drawing>
          <wp:inline distT="0" distB="0" distL="0" distR="0">
            <wp:extent cx="5201285" cy="36779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a:xfrm>
                      <a:off x="0" y="0"/>
                      <a:ext cx="5201582" cy="3678119"/>
                    </a:xfrm>
                    <a:prstGeom prst="rect">
                      <a:avLst/>
                    </a:prstGeom>
                    <a:noFill/>
                    <a:ln>
                      <a:noFill/>
                    </a:ln>
                  </pic:spPr>
                </pic:pic>
              </a:graphicData>
            </a:graphic>
          </wp:inline>
        </w:drawing>
      </w: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56D48">
    <w:pPr>
      <w:pStyle w:val="4"/>
      <w:framePr w:w="1099" w:wrap="around" w:vAnchor="text" w:hAnchor="page" w:x="8998" w:y="-2"/>
      <w:jc w:val="both"/>
      <w:rPr>
        <w:rStyle w:val="10"/>
        <w:rFonts w:hint="eastAsia" w:ascii="宋体" w:hAnsi="宋体"/>
        <w:sz w:val="28"/>
        <w:szCs w:val="28"/>
      </w:rPr>
    </w:pPr>
    <w:r>
      <w:rPr>
        <w:rStyle w:val="10"/>
        <w:rFonts w:hint="eastAsia" w:ascii="宋体" w:hAnsi="宋体"/>
        <w:sz w:val="28"/>
        <w:szCs w:val="28"/>
      </w:rPr>
      <w:fldChar w:fldCharType="begin"/>
    </w:r>
    <w:r>
      <w:rPr>
        <w:rStyle w:val="10"/>
        <w:rFonts w:hint="eastAsia" w:ascii="宋体" w:hAnsi="宋体"/>
        <w:sz w:val="28"/>
        <w:szCs w:val="28"/>
      </w:rPr>
      <w:instrText xml:space="preserve">PAGE  </w:instrText>
    </w:r>
    <w:r>
      <w:rPr>
        <w:rStyle w:val="10"/>
        <w:rFonts w:hint="eastAsia" w:ascii="宋体" w:hAnsi="宋体"/>
        <w:sz w:val="28"/>
        <w:szCs w:val="28"/>
      </w:rPr>
      <w:fldChar w:fldCharType="separate"/>
    </w:r>
    <w:r>
      <w:rPr>
        <w:rStyle w:val="10"/>
        <w:rFonts w:ascii="宋体" w:hAnsi="宋体"/>
        <w:sz w:val="28"/>
        <w:szCs w:val="28"/>
      </w:rPr>
      <w:t>- 5 -</w:t>
    </w:r>
    <w:r>
      <w:rPr>
        <w:rStyle w:val="10"/>
        <w:rFonts w:hint="eastAsia" w:ascii="宋体" w:hAnsi="宋体"/>
        <w:sz w:val="28"/>
        <w:szCs w:val="28"/>
      </w:rPr>
      <w:fldChar w:fldCharType="end"/>
    </w:r>
    <w:r>
      <w:rPr>
        <w:rStyle w:val="10"/>
        <w:rFonts w:hint="eastAsia" w:ascii="宋体" w:hAnsi="宋体"/>
        <w:sz w:val="28"/>
        <w:szCs w:val="28"/>
      </w:rPr>
      <w:t xml:space="preserve">       </w:t>
    </w:r>
  </w:p>
  <w:p w14:paraId="7F1E5B1D">
    <w:pPr>
      <w:pStyle w:val="4"/>
      <w:ind w:right="360" w:firstLine="360"/>
      <w:rPr>
        <w:rFonts w:ascii="仿宋_GB2312" w:eastAsia="仿宋_GB2312"/>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CD92E">
    <w:pPr>
      <w:pStyle w:val="4"/>
      <w:framePr w:wrap="around" w:vAnchor="text" w:hAnchor="margin" w:xAlign="outside" w:y="1"/>
      <w:ind w:firstLine="280"/>
      <w:rPr>
        <w:rStyle w:val="10"/>
        <w:rFonts w:hint="eastAsia" w:ascii="宋体" w:hAnsi="宋体"/>
        <w:sz w:val="28"/>
        <w:szCs w:val="28"/>
      </w:rPr>
    </w:pP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rPr>
      <w:t>- 4 -</w:t>
    </w:r>
    <w:r>
      <w:rPr>
        <w:rStyle w:val="10"/>
        <w:rFonts w:ascii="宋体" w:hAnsi="宋体"/>
        <w:sz w:val="28"/>
        <w:szCs w:val="28"/>
      </w:rPr>
      <w:fldChar w:fldCharType="end"/>
    </w:r>
  </w:p>
  <w:p w14:paraId="1D84BB6A">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E3F"/>
    <w:rsid w:val="00015B46"/>
    <w:rsid w:val="000415F0"/>
    <w:rsid w:val="000421B4"/>
    <w:rsid w:val="00052B19"/>
    <w:rsid w:val="00073B6C"/>
    <w:rsid w:val="000B01E1"/>
    <w:rsid w:val="000D2B0E"/>
    <w:rsid w:val="000D6CC5"/>
    <w:rsid w:val="000E02F1"/>
    <w:rsid w:val="00114645"/>
    <w:rsid w:val="00143C94"/>
    <w:rsid w:val="0016318E"/>
    <w:rsid w:val="001B3E1C"/>
    <w:rsid w:val="001B5A01"/>
    <w:rsid w:val="00212EAA"/>
    <w:rsid w:val="002221BE"/>
    <w:rsid w:val="00260A3C"/>
    <w:rsid w:val="00270559"/>
    <w:rsid w:val="002A1964"/>
    <w:rsid w:val="002A3394"/>
    <w:rsid w:val="002A4290"/>
    <w:rsid w:val="002D10FA"/>
    <w:rsid w:val="002F24E1"/>
    <w:rsid w:val="0034261F"/>
    <w:rsid w:val="0034790C"/>
    <w:rsid w:val="003706BC"/>
    <w:rsid w:val="00382946"/>
    <w:rsid w:val="003B6B02"/>
    <w:rsid w:val="003D32E4"/>
    <w:rsid w:val="003D7FBB"/>
    <w:rsid w:val="004112DF"/>
    <w:rsid w:val="004142C3"/>
    <w:rsid w:val="00447D7D"/>
    <w:rsid w:val="00491B09"/>
    <w:rsid w:val="004B33F4"/>
    <w:rsid w:val="004C708A"/>
    <w:rsid w:val="00511FD7"/>
    <w:rsid w:val="0052634A"/>
    <w:rsid w:val="00530812"/>
    <w:rsid w:val="00536D41"/>
    <w:rsid w:val="0054075F"/>
    <w:rsid w:val="00542E7E"/>
    <w:rsid w:val="00580D57"/>
    <w:rsid w:val="00583C5D"/>
    <w:rsid w:val="005957BF"/>
    <w:rsid w:val="005B732B"/>
    <w:rsid w:val="005D0D13"/>
    <w:rsid w:val="005E139E"/>
    <w:rsid w:val="006124E4"/>
    <w:rsid w:val="00626E3B"/>
    <w:rsid w:val="0063486D"/>
    <w:rsid w:val="00653253"/>
    <w:rsid w:val="00656631"/>
    <w:rsid w:val="006667C7"/>
    <w:rsid w:val="006A0BE6"/>
    <w:rsid w:val="006A12F4"/>
    <w:rsid w:val="006B42E0"/>
    <w:rsid w:val="0070633F"/>
    <w:rsid w:val="00725122"/>
    <w:rsid w:val="0074592D"/>
    <w:rsid w:val="00762FC8"/>
    <w:rsid w:val="007A62C6"/>
    <w:rsid w:val="007D11AA"/>
    <w:rsid w:val="007E00DF"/>
    <w:rsid w:val="007E7307"/>
    <w:rsid w:val="00857A5B"/>
    <w:rsid w:val="00862895"/>
    <w:rsid w:val="00897DBD"/>
    <w:rsid w:val="008B3914"/>
    <w:rsid w:val="009131FC"/>
    <w:rsid w:val="009173AD"/>
    <w:rsid w:val="00930833"/>
    <w:rsid w:val="00945658"/>
    <w:rsid w:val="0094628D"/>
    <w:rsid w:val="009808A4"/>
    <w:rsid w:val="00991333"/>
    <w:rsid w:val="009D1F86"/>
    <w:rsid w:val="00A2197B"/>
    <w:rsid w:val="00A56684"/>
    <w:rsid w:val="00A628D0"/>
    <w:rsid w:val="00A63AC4"/>
    <w:rsid w:val="00A66136"/>
    <w:rsid w:val="00A72F4D"/>
    <w:rsid w:val="00A9519E"/>
    <w:rsid w:val="00AA4550"/>
    <w:rsid w:val="00AB3857"/>
    <w:rsid w:val="00AD37AA"/>
    <w:rsid w:val="00AE1142"/>
    <w:rsid w:val="00B32145"/>
    <w:rsid w:val="00B72383"/>
    <w:rsid w:val="00B85941"/>
    <w:rsid w:val="00BD0F58"/>
    <w:rsid w:val="00BE0DDE"/>
    <w:rsid w:val="00BE6B07"/>
    <w:rsid w:val="00BF7657"/>
    <w:rsid w:val="00C4015A"/>
    <w:rsid w:val="00C52BFA"/>
    <w:rsid w:val="00C53967"/>
    <w:rsid w:val="00C53E4D"/>
    <w:rsid w:val="00CA42F0"/>
    <w:rsid w:val="00CC628C"/>
    <w:rsid w:val="00CD7E3F"/>
    <w:rsid w:val="00CF095B"/>
    <w:rsid w:val="00D35928"/>
    <w:rsid w:val="00D451AF"/>
    <w:rsid w:val="00D61518"/>
    <w:rsid w:val="00D74A06"/>
    <w:rsid w:val="00D82B01"/>
    <w:rsid w:val="00DA3023"/>
    <w:rsid w:val="00DA3F42"/>
    <w:rsid w:val="00DA7B2D"/>
    <w:rsid w:val="00DB7B42"/>
    <w:rsid w:val="00DD7B9A"/>
    <w:rsid w:val="00E03E37"/>
    <w:rsid w:val="00E06258"/>
    <w:rsid w:val="00E06C80"/>
    <w:rsid w:val="00E15F4A"/>
    <w:rsid w:val="00E41F50"/>
    <w:rsid w:val="00E42D2F"/>
    <w:rsid w:val="00E45907"/>
    <w:rsid w:val="00E8594A"/>
    <w:rsid w:val="00EB2B12"/>
    <w:rsid w:val="00EB4748"/>
    <w:rsid w:val="00EC0A04"/>
    <w:rsid w:val="00F017D5"/>
    <w:rsid w:val="00F01B5C"/>
    <w:rsid w:val="00F159AD"/>
    <w:rsid w:val="00F24344"/>
    <w:rsid w:val="00F41592"/>
    <w:rsid w:val="00F77E7F"/>
    <w:rsid w:val="00F81B14"/>
    <w:rsid w:val="00FF0DEF"/>
    <w:rsid w:val="00FF4462"/>
    <w:rsid w:val="027470C3"/>
    <w:rsid w:val="17CA350F"/>
    <w:rsid w:val="1ACE10C4"/>
    <w:rsid w:val="20D779D8"/>
    <w:rsid w:val="461313D5"/>
    <w:rsid w:val="656331AE"/>
    <w:rsid w:val="72D84538"/>
    <w:rsid w:val="768F434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ate"/>
    <w:basedOn w:val="1"/>
    <w:next w:val="1"/>
    <w:qFormat/>
    <w:uiPriority w:val="0"/>
    <w:pPr>
      <w:ind w:left="100"/>
    </w:pPr>
  </w:style>
  <w:style w:type="paragraph" w:styleId="3">
    <w:name w:val="Balloon Text"/>
    <w:basedOn w:val="1"/>
    <w:link w:val="13"/>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link w:val="12"/>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styleId="11">
    <w:name w:val="Hyperlink"/>
    <w:basedOn w:val="9"/>
    <w:unhideWhenUsed/>
    <w:uiPriority w:val="99"/>
    <w:rPr>
      <w:color w:val="0000FF"/>
      <w:u w:val="single"/>
    </w:rPr>
  </w:style>
  <w:style w:type="character" w:customStyle="1" w:styleId="12">
    <w:name w:val="普通(网站) 字符"/>
    <w:link w:val="6"/>
    <w:qFormat/>
    <w:uiPriority w:val="0"/>
    <w:rPr>
      <w:rFonts w:ascii="宋体" w:hAnsi="宋体" w:eastAsia="宋体" w:cs="宋体"/>
      <w:sz w:val="24"/>
      <w:szCs w:val="24"/>
      <w:lang w:val="en-US" w:eastAsia="zh-CN" w:bidi="ar-SA"/>
    </w:rPr>
  </w:style>
  <w:style w:type="character" w:customStyle="1" w:styleId="13">
    <w:name w:val="批注框文本 字符"/>
    <w:basedOn w:val="9"/>
    <w:link w:val="3"/>
    <w:qFormat/>
    <w:uiPriority w:val="0"/>
    <w:rPr>
      <w:kern w:val="2"/>
      <w:sz w:val="18"/>
      <w:szCs w:val="18"/>
    </w:rPr>
  </w:style>
  <w:style w:type="paragraph" w:customStyle="1" w:styleId="14">
    <w:name w:val="表格图片"/>
    <w:basedOn w:val="1"/>
    <w:qFormat/>
    <w:uiPriority w:val="0"/>
    <w:pPr>
      <w:spacing w:before="120" w:after="120"/>
      <w:ind w:left="100" w:leftChars="100" w:right="100" w:rightChars="100"/>
      <w:jc w:val="center"/>
    </w:pPr>
    <w:rPr>
      <w:rFonts w:asciiTheme="minorHAnsi" w:hAnsiTheme="minorHAnsi" w:cstheme="minorBidi"/>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408</Words>
  <Characters>459</Characters>
  <Lines>59</Lines>
  <Paragraphs>39</Paragraphs>
  <TotalTime>156</TotalTime>
  <ScaleCrop>false</ScaleCrop>
  <LinksUpToDate>false</LinksUpToDate>
  <CharactersWithSpaces>459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2025-04-21T01:02:00Z</dcterms:created>
  <dc:creator>User</dc:creator>
  <cp:lastModifiedBy>YYJ</cp:lastModifiedBy>
  <cp:lastPrinted>2026-07-23T09:10:12Z</cp:lastPrinted>
  <dcterms:modified xsi:type="dcterms:W3CDTF">2026-07-23T10:26:04Z</dcterms:modified>
  <dc:title>融规 [2012] 253号                  签发人：郑卫东</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86938E6D35CE47E183F9966356CA6C43_13</vt:lpwstr>
  </property>
  <property fmtid="{D5CDD505-2E9C-101B-9397-08002B2CF9AE}" pid="4" name="KSOTemplateDocerSaveRecord">
    <vt:lpwstr>eyJoZGlkIjoiNjYxYjE5YTBiZjczNTlkZGJkYTZkMDA0Y2E5YzA5MTMiLCJ1c2VySWQiOiIzMzY3NjI0NzYifQ==</vt:lpwstr>
  </property>
</Properties>
</file>