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64C63">
      <w:pPr>
        <w:spacing w:line="760" w:lineRule="exact"/>
        <w:rPr>
          <w:rFonts w:ascii="方正小标宋简体" w:hAnsi="方正小标宋简体" w:eastAsia="方正小标宋简体"/>
          <w:sz w:val="44"/>
          <w:szCs w:val="44"/>
        </w:rPr>
      </w:pPr>
      <w:bookmarkStart w:id="0" w:name="标题"/>
    </w:p>
    <w:bookmarkEnd w:id="0"/>
    <w:p w14:paraId="67241B1C">
      <w:pPr>
        <w:spacing w:line="540" w:lineRule="auto"/>
        <w:rPr>
          <w:rFonts w:ascii="仿宋_GB2312" w:eastAsia="仿宋_GB2312"/>
          <w:sz w:val="32"/>
          <w:szCs w:val="32"/>
        </w:rPr>
      </w:pPr>
      <w:r>
        <w:rPr>
          <w:rFonts w:hint="eastAsia" w:ascii="仿宋_GB2312" w:eastAsia="仿宋_GB2312"/>
          <w:sz w:val="32"/>
          <w:szCs w:val="32"/>
        </w:rPr>
        <w:t>附件</w:t>
      </w:r>
    </w:p>
    <w:p w14:paraId="6F30F66F">
      <w:pPr>
        <w:spacing w:line="540" w:lineRule="auto"/>
        <w:jc w:val="center"/>
        <w:rPr>
          <w:rFonts w:ascii="仿宋_GB2312" w:eastAsia="仿宋_GB2312"/>
          <w:b/>
          <w:sz w:val="36"/>
          <w:szCs w:val="32"/>
        </w:rPr>
      </w:pPr>
      <w:r>
        <w:rPr>
          <w:rFonts w:hint="eastAsia" w:ascii="仿宋_GB2312" w:eastAsia="仿宋_GB2312"/>
          <w:b/>
          <w:sz w:val="36"/>
          <w:szCs w:val="32"/>
        </w:rPr>
        <w:t>福清市东部新城核心区局部控制性详细规划修编的主要内容及规划图纸</w:t>
      </w:r>
    </w:p>
    <w:p w14:paraId="446AE46E">
      <w:pPr>
        <w:spacing w:line="540" w:lineRule="auto"/>
        <w:jc w:val="center"/>
        <w:rPr>
          <w:rFonts w:ascii="仿宋_GB2312" w:eastAsia="仿宋_GB2312"/>
          <w:b/>
          <w:sz w:val="36"/>
          <w:szCs w:val="32"/>
        </w:rPr>
      </w:pPr>
    </w:p>
    <w:p w14:paraId="53CA1D36">
      <w:pPr>
        <w:ind w:firstLine="643" w:firstLineChars="200"/>
        <w:rPr>
          <w:rFonts w:ascii="仿宋_GB2312" w:eastAsia="仿宋_GB2312"/>
          <w:b/>
          <w:sz w:val="32"/>
          <w:szCs w:val="32"/>
        </w:rPr>
      </w:pPr>
      <w:r>
        <w:rPr>
          <w:rFonts w:hint="eastAsia" w:ascii="仿宋_GB2312" w:eastAsia="仿宋_GB2312"/>
          <w:b/>
          <w:sz w:val="32"/>
          <w:szCs w:val="32"/>
        </w:rPr>
        <w:t>一、主要内容</w:t>
      </w:r>
    </w:p>
    <w:p w14:paraId="0BCF84E0">
      <w:pPr>
        <w:ind w:firstLine="643" w:firstLineChars="200"/>
        <w:rPr>
          <w:rFonts w:ascii="仿宋_GB2312" w:eastAsia="仿宋_GB2312"/>
          <w:b/>
          <w:sz w:val="32"/>
          <w:szCs w:val="32"/>
        </w:rPr>
      </w:pPr>
      <w:r>
        <w:rPr>
          <w:rFonts w:hint="eastAsia" w:ascii="仿宋_GB2312" w:eastAsia="仿宋_GB2312"/>
          <w:b/>
          <w:sz w:val="32"/>
          <w:szCs w:val="32"/>
        </w:rPr>
        <w:t>1、区位及规划范围</w:t>
      </w:r>
    </w:p>
    <w:p w14:paraId="11FED4AC">
      <w:pPr>
        <w:ind w:firstLine="640" w:firstLineChars="200"/>
        <w:rPr>
          <w:rFonts w:ascii="仿宋_GB2312" w:eastAsia="仿宋_GB2312"/>
          <w:sz w:val="32"/>
          <w:szCs w:val="32"/>
        </w:rPr>
      </w:pPr>
      <w:r>
        <w:rPr>
          <w:rFonts w:hint="eastAsia" w:ascii="仿宋_GB2312" w:eastAsia="仿宋_GB2312"/>
          <w:sz w:val="32"/>
          <w:szCs w:val="32"/>
        </w:rPr>
        <w:t>规划区位于福清市东部新城核心区中部，规划总用地面积</w:t>
      </w:r>
      <w:r>
        <w:rPr>
          <w:rFonts w:ascii="仿宋_GB2312" w:eastAsia="仿宋_GB2312"/>
          <w:sz w:val="32"/>
          <w:szCs w:val="32"/>
        </w:rPr>
        <w:t>18.22</w:t>
      </w:r>
      <w:r>
        <w:rPr>
          <w:rFonts w:hint="eastAsia" w:ascii="仿宋_GB2312" w:eastAsia="仿宋_GB2312"/>
          <w:sz w:val="32"/>
          <w:szCs w:val="32"/>
        </w:rPr>
        <w:t>公顷，规划范围北至元华路，西至坊里路、水松路，南至玛瑙路，东至隆中路，距福清站8公里，距福长高速龙山收费口3公里，距福州长乐机场40分钟，区位交通便利。</w:t>
      </w:r>
    </w:p>
    <w:p w14:paraId="4FAA928A">
      <w:pPr>
        <w:ind w:firstLine="643" w:firstLineChars="200"/>
        <w:rPr>
          <w:rFonts w:ascii="仿宋_GB2312" w:eastAsia="仿宋_GB2312"/>
          <w:sz w:val="32"/>
          <w:szCs w:val="32"/>
        </w:rPr>
      </w:pPr>
      <w:r>
        <w:rPr>
          <w:rFonts w:ascii="仿宋_GB2312" w:eastAsia="仿宋_GB2312"/>
          <w:b/>
          <w:sz w:val="32"/>
          <w:szCs w:val="32"/>
        </w:rPr>
        <w:t>2</w:t>
      </w:r>
      <w:r>
        <w:rPr>
          <w:rFonts w:hint="eastAsia" w:ascii="仿宋_GB2312" w:eastAsia="仿宋_GB2312"/>
          <w:b/>
          <w:sz w:val="32"/>
          <w:szCs w:val="32"/>
        </w:rPr>
        <w:t>、目标定位</w:t>
      </w:r>
    </w:p>
    <w:p w14:paraId="1E305979">
      <w:pPr>
        <w:ind w:firstLine="640" w:firstLineChars="200"/>
        <w:rPr>
          <w:rFonts w:ascii="仿宋_GB2312" w:eastAsia="仿宋_GB2312"/>
          <w:sz w:val="32"/>
          <w:szCs w:val="32"/>
        </w:rPr>
      </w:pPr>
      <w:r>
        <w:rPr>
          <w:rFonts w:hint="eastAsia" w:ascii="仿宋_GB2312" w:eastAsia="仿宋_GB2312"/>
          <w:sz w:val="32"/>
          <w:szCs w:val="32"/>
        </w:rPr>
        <w:t>以“创新侨城、八闽福地”为总体目标，将规划区打造成为东部新城核心区内重要的创意产业孵化空间。</w:t>
      </w:r>
    </w:p>
    <w:p w14:paraId="59714B82">
      <w:pPr>
        <w:ind w:firstLine="643" w:firstLineChars="200"/>
        <w:rPr>
          <w:rFonts w:ascii="仿宋_GB2312" w:eastAsia="仿宋_GB2312"/>
          <w:b/>
          <w:sz w:val="32"/>
          <w:szCs w:val="32"/>
        </w:rPr>
      </w:pPr>
      <w:r>
        <w:rPr>
          <w:rFonts w:ascii="仿宋_GB2312" w:eastAsia="仿宋_GB2312"/>
          <w:b/>
          <w:sz w:val="32"/>
          <w:szCs w:val="32"/>
        </w:rPr>
        <w:t>3</w:t>
      </w:r>
      <w:r>
        <w:rPr>
          <w:rFonts w:hint="eastAsia" w:ascii="仿宋_GB2312" w:eastAsia="仿宋_GB2312"/>
          <w:b/>
          <w:sz w:val="32"/>
          <w:szCs w:val="32"/>
        </w:rPr>
        <w:t>、发展规模</w:t>
      </w:r>
    </w:p>
    <w:p w14:paraId="6A6A9350">
      <w:pPr>
        <w:ind w:firstLine="640" w:firstLineChars="200"/>
        <w:rPr>
          <w:rFonts w:ascii="仿宋_GB2312" w:eastAsia="仿宋_GB2312"/>
          <w:sz w:val="32"/>
          <w:szCs w:val="32"/>
        </w:rPr>
      </w:pPr>
      <w:r>
        <w:rPr>
          <w:rFonts w:hint="eastAsia" w:ascii="仿宋_GB2312" w:eastAsia="仿宋_GB2312"/>
          <w:sz w:val="32"/>
          <w:szCs w:val="32"/>
        </w:rPr>
        <w:t>规划人口规模</w:t>
      </w:r>
      <w:r>
        <w:rPr>
          <w:rFonts w:ascii="仿宋_GB2312" w:eastAsia="仿宋_GB2312"/>
          <w:sz w:val="32"/>
          <w:szCs w:val="32"/>
        </w:rPr>
        <w:t>1160</w:t>
      </w:r>
      <w:r>
        <w:rPr>
          <w:rFonts w:hint="eastAsia" w:ascii="仿宋_GB2312" w:eastAsia="仿宋_GB2312"/>
          <w:sz w:val="32"/>
          <w:szCs w:val="32"/>
        </w:rPr>
        <w:t>人，规划总建设用地面积</w:t>
      </w:r>
      <w:r>
        <w:rPr>
          <w:rFonts w:ascii="仿宋_GB2312" w:eastAsia="仿宋_GB2312"/>
          <w:sz w:val="32"/>
          <w:szCs w:val="32"/>
        </w:rPr>
        <w:t>18.22</w:t>
      </w:r>
      <w:r>
        <w:rPr>
          <w:rFonts w:hint="eastAsia" w:ascii="仿宋_GB2312" w:eastAsia="仿宋_GB2312"/>
          <w:sz w:val="32"/>
          <w:szCs w:val="32"/>
        </w:rPr>
        <w:t>公顷。</w:t>
      </w:r>
    </w:p>
    <w:p w14:paraId="15A26325">
      <w:pPr>
        <w:ind w:firstLine="643" w:firstLineChars="200"/>
        <w:rPr>
          <w:rFonts w:ascii="仿宋_GB2312" w:eastAsia="仿宋_GB2312"/>
          <w:b/>
          <w:sz w:val="32"/>
          <w:szCs w:val="32"/>
        </w:rPr>
      </w:pPr>
      <w:r>
        <w:rPr>
          <w:rFonts w:ascii="仿宋_GB2312" w:eastAsia="仿宋_GB2312"/>
          <w:b/>
          <w:sz w:val="32"/>
          <w:szCs w:val="32"/>
        </w:rPr>
        <w:t>4</w:t>
      </w:r>
      <w:r>
        <w:rPr>
          <w:rFonts w:hint="eastAsia" w:ascii="仿宋_GB2312" w:eastAsia="仿宋_GB2312"/>
          <w:b/>
          <w:sz w:val="32"/>
          <w:szCs w:val="32"/>
        </w:rPr>
        <w:t>、用地布局规划</w:t>
      </w:r>
    </w:p>
    <w:p w14:paraId="6AA86CA7">
      <w:pPr>
        <w:ind w:firstLine="640" w:firstLineChars="200"/>
        <w:rPr>
          <w:rFonts w:ascii="仿宋_GB2312" w:eastAsia="仿宋_GB2312"/>
          <w:sz w:val="32"/>
          <w:szCs w:val="32"/>
        </w:rPr>
      </w:pPr>
      <w:r>
        <w:rPr>
          <w:rFonts w:hint="eastAsia" w:ascii="仿宋_GB2312" w:eastAsia="仿宋_GB2312"/>
          <w:sz w:val="32"/>
          <w:szCs w:val="32"/>
        </w:rPr>
        <w:t>本次规划总用地</w:t>
      </w:r>
      <w:r>
        <w:rPr>
          <w:rFonts w:ascii="仿宋_GB2312" w:eastAsia="仿宋_GB2312"/>
          <w:sz w:val="32"/>
          <w:szCs w:val="32"/>
        </w:rPr>
        <w:t>18.22</w:t>
      </w:r>
      <w:r>
        <w:rPr>
          <w:rFonts w:hint="eastAsia" w:ascii="仿宋_GB2312" w:eastAsia="仿宋_GB2312"/>
          <w:sz w:val="32"/>
          <w:szCs w:val="32"/>
        </w:rPr>
        <w:t>公顷，其中居住用地面积为2.09公顷，公共管理与公共服务用地面积为4.51公顷，交通运输用地面积为3.92公顷，绿地与开敞空间用地面积为7.70公顷。</w:t>
      </w:r>
    </w:p>
    <w:p w14:paraId="43419DE3">
      <w:pPr>
        <w:ind w:firstLine="643" w:firstLineChars="200"/>
        <w:rPr>
          <w:rFonts w:ascii="仿宋_GB2312" w:eastAsia="仿宋_GB2312"/>
          <w:sz w:val="32"/>
          <w:szCs w:val="32"/>
        </w:rPr>
      </w:pPr>
      <w:r>
        <w:rPr>
          <w:rFonts w:ascii="仿宋_GB2312" w:eastAsia="仿宋_GB2312"/>
          <w:b/>
          <w:sz w:val="32"/>
          <w:szCs w:val="32"/>
        </w:rPr>
        <w:t>5</w:t>
      </w:r>
      <w:r>
        <w:rPr>
          <w:rFonts w:hint="eastAsia" w:ascii="仿宋_GB2312" w:eastAsia="仿宋_GB2312"/>
          <w:b/>
          <w:sz w:val="32"/>
          <w:szCs w:val="32"/>
        </w:rPr>
        <w:t>、道路交通规划</w:t>
      </w:r>
    </w:p>
    <w:p w14:paraId="4752E7AE">
      <w:pPr>
        <w:ind w:firstLine="640" w:firstLineChars="200"/>
        <w:rPr>
          <w:rFonts w:ascii="仿宋_GB2312" w:eastAsia="仿宋_GB2312"/>
          <w:sz w:val="32"/>
          <w:szCs w:val="32"/>
        </w:rPr>
      </w:pPr>
      <w:r>
        <w:rPr>
          <w:rFonts w:hint="eastAsia" w:ascii="仿宋_GB2312" w:eastAsia="仿宋_GB2312"/>
          <w:sz w:val="32"/>
          <w:szCs w:val="32"/>
        </w:rPr>
        <w:t>根据城市道路网规划指标及各级道路的特点、功能，结合现有道路和地形条件，规划形成主干路为骨架，次干路、支路为补充，功能明晰、等级合理的道路系统。包括</w:t>
      </w:r>
      <w:r>
        <w:rPr>
          <w:rFonts w:ascii="仿宋_GB2312" w:eastAsia="仿宋_GB2312"/>
          <w:sz w:val="32"/>
          <w:szCs w:val="32"/>
        </w:rPr>
        <w:t>2</w:t>
      </w:r>
      <w:r>
        <w:rPr>
          <w:rFonts w:hint="eastAsia" w:ascii="仿宋_GB2312" w:eastAsia="仿宋_GB2312"/>
          <w:sz w:val="32"/>
          <w:szCs w:val="32"/>
        </w:rPr>
        <w:t>条主干路、</w:t>
      </w:r>
      <w:r>
        <w:rPr>
          <w:rFonts w:ascii="仿宋_GB2312" w:eastAsia="仿宋_GB2312"/>
          <w:sz w:val="32"/>
          <w:szCs w:val="32"/>
        </w:rPr>
        <w:t>2</w:t>
      </w:r>
      <w:r>
        <w:rPr>
          <w:rFonts w:hint="eastAsia" w:ascii="仿宋_GB2312" w:eastAsia="仿宋_GB2312"/>
          <w:sz w:val="32"/>
          <w:szCs w:val="32"/>
        </w:rPr>
        <w:t>条次干路及</w:t>
      </w:r>
      <w:r>
        <w:rPr>
          <w:rFonts w:ascii="仿宋_GB2312" w:eastAsia="仿宋_GB2312"/>
          <w:sz w:val="32"/>
          <w:szCs w:val="32"/>
        </w:rPr>
        <w:t>2</w:t>
      </w:r>
      <w:r>
        <w:rPr>
          <w:rFonts w:hint="eastAsia" w:ascii="仿宋_GB2312" w:eastAsia="仿宋_GB2312"/>
          <w:sz w:val="32"/>
          <w:szCs w:val="32"/>
        </w:rPr>
        <w:t>条支路。</w:t>
      </w:r>
    </w:p>
    <w:p w14:paraId="5D484123">
      <w:pPr>
        <w:ind w:firstLine="640" w:firstLineChars="200"/>
        <w:rPr>
          <w:rFonts w:ascii="仿宋_GB2312" w:eastAsia="仿宋_GB2312"/>
          <w:sz w:val="32"/>
          <w:szCs w:val="32"/>
        </w:rPr>
      </w:pPr>
    </w:p>
    <w:p w14:paraId="37F7BC39">
      <w:pPr>
        <w:ind w:firstLine="640" w:firstLineChars="200"/>
        <w:rPr>
          <w:rFonts w:ascii="仿宋_GB2312" w:eastAsia="仿宋_GB2312"/>
          <w:sz w:val="32"/>
          <w:szCs w:val="32"/>
        </w:rPr>
      </w:pPr>
    </w:p>
    <w:p w14:paraId="35FCAEC0">
      <w:pPr>
        <w:ind w:firstLine="640" w:firstLineChars="200"/>
        <w:rPr>
          <w:rFonts w:ascii="仿宋_GB2312" w:eastAsia="仿宋_GB2312"/>
          <w:sz w:val="32"/>
          <w:szCs w:val="32"/>
        </w:rPr>
      </w:pPr>
    </w:p>
    <w:p w14:paraId="39C8BFA3">
      <w:pPr>
        <w:ind w:firstLine="640" w:firstLineChars="200"/>
        <w:rPr>
          <w:rFonts w:ascii="仿宋_GB2312" w:eastAsia="仿宋_GB2312"/>
          <w:sz w:val="32"/>
          <w:szCs w:val="32"/>
        </w:rPr>
      </w:pPr>
    </w:p>
    <w:p w14:paraId="656C996B">
      <w:pPr>
        <w:ind w:firstLine="640" w:firstLineChars="200"/>
        <w:rPr>
          <w:rFonts w:ascii="仿宋_GB2312" w:eastAsia="仿宋_GB2312"/>
          <w:sz w:val="32"/>
          <w:szCs w:val="32"/>
        </w:rPr>
      </w:pPr>
    </w:p>
    <w:p w14:paraId="12468979">
      <w:pPr>
        <w:ind w:firstLine="640" w:firstLineChars="200"/>
        <w:rPr>
          <w:rFonts w:ascii="仿宋_GB2312" w:eastAsia="仿宋_GB2312"/>
          <w:sz w:val="32"/>
          <w:szCs w:val="32"/>
        </w:rPr>
      </w:pPr>
    </w:p>
    <w:p w14:paraId="37149424">
      <w:pPr>
        <w:ind w:firstLine="640" w:firstLineChars="200"/>
        <w:rPr>
          <w:rFonts w:ascii="仿宋_GB2312" w:eastAsia="仿宋_GB2312"/>
          <w:sz w:val="32"/>
          <w:szCs w:val="32"/>
        </w:rPr>
      </w:pPr>
    </w:p>
    <w:p w14:paraId="2B83F0DC">
      <w:pPr>
        <w:ind w:firstLine="640" w:firstLineChars="200"/>
        <w:rPr>
          <w:rFonts w:ascii="仿宋_GB2312" w:eastAsia="仿宋_GB2312"/>
          <w:sz w:val="32"/>
          <w:szCs w:val="32"/>
        </w:rPr>
      </w:pPr>
    </w:p>
    <w:p w14:paraId="489099BF">
      <w:pPr>
        <w:ind w:firstLine="640" w:firstLineChars="200"/>
        <w:rPr>
          <w:rFonts w:ascii="仿宋_GB2312" w:eastAsia="仿宋_GB2312"/>
          <w:sz w:val="32"/>
          <w:szCs w:val="32"/>
        </w:rPr>
      </w:pPr>
    </w:p>
    <w:p w14:paraId="156D443F">
      <w:pPr>
        <w:rPr>
          <w:rFonts w:ascii="仿宋_GB2312" w:eastAsia="仿宋_GB2312"/>
          <w:sz w:val="32"/>
          <w:szCs w:val="32"/>
        </w:rPr>
      </w:pPr>
      <w:bookmarkStart w:id="1" w:name="_GoBack"/>
      <w:bookmarkEnd w:id="1"/>
    </w:p>
    <w:p w14:paraId="17AC16F6">
      <w:pPr>
        <w:rPr>
          <w:rFonts w:ascii="仿宋_GB2312" w:eastAsia="仿宋_GB2312"/>
          <w:sz w:val="32"/>
          <w:szCs w:val="32"/>
        </w:rPr>
      </w:pPr>
    </w:p>
    <w:p w14:paraId="37A7191B">
      <w:pPr>
        <w:rPr>
          <w:rFonts w:ascii="仿宋_GB2312" w:eastAsia="仿宋_GB2312"/>
          <w:sz w:val="32"/>
          <w:szCs w:val="32"/>
        </w:rPr>
      </w:pPr>
    </w:p>
    <w:p w14:paraId="76BB8754">
      <w:pPr>
        <w:rPr>
          <w:rFonts w:ascii="仿宋_GB2312" w:eastAsia="仿宋_GB2312"/>
          <w:sz w:val="32"/>
          <w:szCs w:val="32"/>
        </w:rPr>
      </w:pPr>
    </w:p>
    <w:p w14:paraId="7AFD877A">
      <w:pPr>
        <w:rPr>
          <w:rFonts w:ascii="仿宋_GB2312" w:eastAsia="仿宋_GB2312"/>
          <w:sz w:val="32"/>
          <w:szCs w:val="32"/>
        </w:rPr>
      </w:pPr>
    </w:p>
    <w:p w14:paraId="77052D33">
      <w:pPr>
        <w:rPr>
          <w:rFonts w:ascii="仿宋_GB2312" w:eastAsia="仿宋_GB2312"/>
          <w:sz w:val="32"/>
          <w:szCs w:val="32"/>
        </w:rPr>
      </w:pPr>
    </w:p>
    <w:p w14:paraId="1BD51B54">
      <w:pPr>
        <w:rPr>
          <w:rFonts w:ascii="仿宋_GB2312" w:eastAsia="仿宋_GB2312"/>
          <w:sz w:val="32"/>
          <w:szCs w:val="32"/>
        </w:rPr>
      </w:pPr>
    </w:p>
    <w:p w14:paraId="6AADA6BC">
      <w:pPr>
        <w:ind w:firstLine="643" w:firstLineChars="200"/>
        <w:rPr>
          <w:rFonts w:ascii="仿宋_GB2312" w:eastAsia="仿宋_GB2312"/>
          <w:b/>
          <w:sz w:val="32"/>
          <w:szCs w:val="32"/>
        </w:rPr>
      </w:pPr>
      <w:r>
        <w:rPr>
          <w:rFonts w:hint="eastAsia" w:ascii="仿宋_GB2312" w:eastAsia="仿宋_GB2312"/>
          <w:b/>
          <w:sz w:val="32"/>
          <w:szCs w:val="32"/>
        </w:rPr>
        <w:t>二、规划图纸</w:t>
      </w:r>
    </w:p>
    <w:p w14:paraId="22E26153">
      <w:pPr>
        <w:ind w:firstLine="643" w:firstLineChars="200"/>
        <w:rPr>
          <w:rFonts w:ascii="仿宋_GB2312" w:eastAsia="仿宋_GB2312"/>
          <w:b/>
          <w:sz w:val="32"/>
          <w:szCs w:val="32"/>
        </w:rPr>
      </w:pPr>
      <w:r>
        <w:rPr>
          <w:rFonts w:hint="eastAsia" w:ascii="仿宋_GB2312" w:eastAsia="仿宋_GB2312"/>
          <w:b/>
          <w:sz w:val="32"/>
          <w:szCs w:val="32"/>
        </w:rPr>
        <w:t>1、区位分析图</w:t>
      </w:r>
    </w:p>
    <w:p w14:paraId="61BC7DA0">
      <w:pPr>
        <w:spacing w:line="540" w:lineRule="auto"/>
        <w:jc w:val="center"/>
        <w:rPr>
          <w:rFonts w:ascii="仿宋_GB2312" w:eastAsia="仿宋_GB2312"/>
          <w:sz w:val="36"/>
          <w:szCs w:val="32"/>
        </w:rPr>
      </w:pPr>
      <w:r>
        <w:rPr>
          <w:rFonts w:ascii="仿宋_GB2312" w:eastAsia="仿宋_GB2312"/>
          <w:sz w:val="36"/>
          <w:szCs w:val="32"/>
        </w:rPr>
        <w:drawing>
          <wp:inline distT="0" distB="0" distL="0" distR="0">
            <wp:extent cx="5009515" cy="7013575"/>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10126" cy="7014176"/>
                    </a:xfrm>
                    <a:prstGeom prst="rect">
                      <a:avLst/>
                    </a:prstGeom>
                    <a:noFill/>
                    <a:ln>
                      <a:noFill/>
                    </a:ln>
                  </pic:spPr>
                </pic:pic>
              </a:graphicData>
            </a:graphic>
          </wp:inline>
        </w:drawing>
      </w:r>
    </w:p>
    <w:p w14:paraId="172C401D">
      <w:pPr>
        <w:spacing w:line="540" w:lineRule="auto"/>
        <w:rPr>
          <w:rFonts w:ascii="仿宋_GB2312" w:eastAsia="仿宋_GB2312"/>
          <w:sz w:val="36"/>
          <w:szCs w:val="32"/>
        </w:rPr>
      </w:pPr>
    </w:p>
    <w:p w14:paraId="17A45BF9">
      <w:pPr>
        <w:spacing w:line="540" w:lineRule="auto"/>
        <w:rPr>
          <w:rFonts w:ascii="仿宋_GB2312" w:eastAsia="仿宋_GB2312"/>
          <w:sz w:val="36"/>
          <w:szCs w:val="32"/>
        </w:rPr>
      </w:pPr>
    </w:p>
    <w:p w14:paraId="17692538">
      <w:pPr>
        <w:ind w:firstLine="643" w:firstLineChars="20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、土地利用规划图</w:t>
      </w:r>
    </w:p>
    <w:p w14:paraId="37C58CF1">
      <w:pPr>
        <w:spacing w:line="540" w:lineRule="auto"/>
        <w:rPr>
          <w:rFonts w:ascii="仿宋_GB2312" w:eastAsia="仿宋_GB2312"/>
          <w:sz w:val="36"/>
          <w:szCs w:val="32"/>
        </w:rPr>
      </w:pPr>
      <w:r>
        <w:rPr>
          <w:rFonts w:ascii="仿宋_GB2312" w:eastAsia="仿宋_GB2312"/>
          <w:sz w:val="36"/>
          <w:szCs w:val="32"/>
        </w:rPr>
        <w:drawing>
          <wp:inline distT="0" distB="0" distL="0" distR="0">
            <wp:extent cx="5009515" cy="701357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0125" cy="7014176"/>
                    </a:xfrm>
                    <a:prstGeom prst="rect">
                      <a:avLst/>
                    </a:prstGeom>
                    <a:noFill/>
                    <a:ln>
                      <a:noFill/>
                    </a:ln>
                  </pic:spPr>
                </pic:pic>
              </a:graphicData>
            </a:graphic>
          </wp:inline>
        </w:drawing>
      </w:r>
    </w:p>
    <w:p w14:paraId="30BCCAD9">
      <w:pPr>
        <w:spacing w:line="540" w:lineRule="auto"/>
        <w:rPr>
          <w:rFonts w:ascii="仿宋_GB2312" w:eastAsia="仿宋_GB2312"/>
          <w:sz w:val="36"/>
          <w:szCs w:val="32"/>
        </w:rPr>
      </w:pPr>
    </w:p>
    <w:p w14:paraId="55BEC3BE">
      <w:pPr>
        <w:spacing w:line="540" w:lineRule="auto"/>
        <w:rPr>
          <w:rFonts w:ascii="仿宋_GB2312" w:eastAsia="仿宋_GB2312"/>
          <w:sz w:val="36"/>
          <w:szCs w:val="32"/>
        </w:rPr>
      </w:pPr>
    </w:p>
    <w:p w14:paraId="126832DB">
      <w:pPr>
        <w:spacing w:line="540" w:lineRule="auto"/>
        <w:rPr>
          <w:rFonts w:ascii="仿宋_GB2312" w:eastAsia="仿宋_GB2312"/>
          <w:sz w:val="36"/>
          <w:szCs w:val="32"/>
        </w:rPr>
      </w:pPr>
    </w:p>
    <w:p w14:paraId="4273C570">
      <w:pPr>
        <w:ind w:firstLine="643" w:firstLineChars="200"/>
        <w:rPr>
          <w:rFonts w:ascii="仿宋_GB2312" w:eastAsia="仿宋_GB2312"/>
          <w:b/>
          <w:sz w:val="32"/>
          <w:szCs w:val="32"/>
        </w:rPr>
      </w:pPr>
      <w:r>
        <w:rPr>
          <w:rFonts w:ascii="仿宋_GB2312" w:eastAsia="仿宋_GB2312"/>
          <w:b/>
          <w:sz w:val="32"/>
          <w:szCs w:val="32"/>
        </w:rPr>
        <w:t>3</w:t>
      </w:r>
      <w:r>
        <w:rPr>
          <w:rFonts w:hint="eastAsia" w:ascii="仿宋_GB2312" w:eastAsia="仿宋_GB2312"/>
          <w:b/>
          <w:sz w:val="32"/>
          <w:szCs w:val="32"/>
        </w:rPr>
        <w:t>、道路交通规划图</w:t>
      </w:r>
    </w:p>
    <w:p w14:paraId="6E6A3745">
      <w:pPr>
        <w:spacing w:line="540" w:lineRule="auto"/>
        <w:rPr>
          <w:rFonts w:ascii="仿宋_GB2312" w:eastAsia="仿宋_GB2312"/>
          <w:sz w:val="36"/>
          <w:szCs w:val="32"/>
        </w:rPr>
      </w:pPr>
      <w:r>
        <w:rPr>
          <w:rFonts w:ascii="仿宋_GB2312" w:eastAsia="仿宋_GB2312"/>
          <w:sz w:val="36"/>
          <w:szCs w:val="32"/>
        </w:rPr>
        <w:drawing>
          <wp:inline distT="0" distB="0" distL="0" distR="0">
            <wp:extent cx="5009515" cy="701357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0125" cy="7014176"/>
                    </a:xfrm>
                    <a:prstGeom prst="rect">
                      <a:avLst/>
                    </a:prstGeom>
                    <a:noFill/>
                    <a:ln>
                      <a:noFill/>
                    </a:ln>
                  </pic:spPr>
                </pic:pic>
              </a:graphicData>
            </a:graphic>
          </wp:inline>
        </w:drawing>
      </w:r>
    </w:p>
    <w:p w14:paraId="7BD74D3F">
      <w:pPr>
        <w:spacing w:line="540" w:lineRule="auto"/>
        <w:rPr>
          <w:rFonts w:ascii="仿宋_GB2312" w:eastAsia="仿宋_GB2312"/>
          <w:sz w:val="36"/>
          <w:szCs w:val="32"/>
        </w:rPr>
      </w:pPr>
    </w:p>
    <w:p w14:paraId="0DBB5B68">
      <w:pPr>
        <w:spacing w:line="540" w:lineRule="auto"/>
        <w:rPr>
          <w:rFonts w:ascii="仿宋_GB2312" w:eastAsia="仿宋_GB2312"/>
          <w:sz w:val="36"/>
          <w:szCs w:val="32"/>
        </w:rPr>
      </w:pPr>
    </w:p>
    <w:p w14:paraId="67AE5F73">
      <w:pPr>
        <w:spacing w:line="540" w:lineRule="auto"/>
        <w:rPr>
          <w:rFonts w:ascii="仿宋_GB2312" w:eastAsia="仿宋_GB2312"/>
          <w:sz w:val="36"/>
          <w:szCs w:val="32"/>
        </w:rPr>
      </w:pPr>
    </w:p>
    <w:p w14:paraId="2790A13C">
      <w:pPr>
        <w:ind w:firstLine="643" w:firstLineChars="200"/>
        <w:rPr>
          <w:rFonts w:ascii="仿宋_GB2312" w:eastAsia="仿宋_GB2312"/>
          <w:b/>
          <w:sz w:val="32"/>
          <w:szCs w:val="32"/>
        </w:rPr>
      </w:pPr>
      <w:r>
        <w:rPr>
          <w:rFonts w:ascii="仿宋_GB2312" w:eastAsia="仿宋_GB2312"/>
          <w:b/>
          <w:sz w:val="32"/>
          <w:szCs w:val="32"/>
        </w:rPr>
        <w:t>4</w:t>
      </w:r>
      <w:r>
        <w:rPr>
          <w:rFonts w:hint="eastAsia" w:ascii="仿宋_GB2312" w:eastAsia="仿宋_GB2312"/>
          <w:b/>
          <w:sz w:val="32"/>
          <w:szCs w:val="32"/>
        </w:rPr>
        <w:t>、绿地系统规划图</w:t>
      </w:r>
    </w:p>
    <w:p w14:paraId="72864832">
      <w:pPr>
        <w:spacing w:line="540" w:lineRule="auto"/>
        <w:rPr>
          <w:rFonts w:ascii="仿宋_GB2312" w:eastAsia="仿宋_GB2312"/>
          <w:sz w:val="36"/>
          <w:szCs w:val="32"/>
        </w:rPr>
      </w:pPr>
      <w:r>
        <w:rPr>
          <w:rFonts w:ascii="仿宋_GB2312" w:eastAsia="仿宋_GB2312"/>
          <w:sz w:val="36"/>
          <w:szCs w:val="32"/>
        </w:rPr>
        <w:drawing>
          <wp:inline distT="0" distB="0" distL="0" distR="0">
            <wp:extent cx="5009515" cy="701357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0125" cy="7014176"/>
                    </a:xfrm>
                    <a:prstGeom prst="rect">
                      <a:avLst/>
                    </a:prstGeom>
                    <a:noFill/>
                    <a:ln>
                      <a:noFill/>
                    </a:ln>
                  </pic:spPr>
                </pic:pic>
              </a:graphicData>
            </a:graphic>
          </wp:inline>
        </w:drawing>
      </w:r>
    </w:p>
    <w:p w14:paraId="57B1A576">
      <w:pPr>
        <w:rPr>
          <w:rFonts w:ascii="仿宋_GB2312" w:eastAsia="仿宋_GB2312"/>
          <w:sz w:val="32"/>
          <w:szCs w:val="32"/>
        </w:rPr>
      </w:pPr>
    </w:p>
    <w:sectPr>
      <w:footerReference r:id="rId3" w:type="default"/>
      <w:footerReference r:id="rId4" w:type="even"/>
      <w:pgSz w:w="11906" w:h="16838"/>
      <w:pgMar w:top="1440" w:right="1797" w:bottom="1440" w:left="179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DCDB5">
    <w:pPr>
      <w:pStyle w:val="4"/>
      <w:framePr w:w="1099" w:wrap="around" w:vAnchor="text" w:hAnchor="page" w:x="8998" w:y="-2"/>
      <w:jc w:val="both"/>
      <w:rPr>
        <w:rStyle w:val="9"/>
        <w:rFonts w:ascii="宋体" w:hAnsi="宋体"/>
        <w:sz w:val="28"/>
        <w:szCs w:val="28"/>
      </w:rPr>
    </w:pPr>
    <w:r>
      <w:rPr>
        <w:rStyle w:val="9"/>
        <w:rFonts w:hint="eastAsia" w:ascii="宋体" w:hAnsi="宋体"/>
        <w:sz w:val="28"/>
        <w:szCs w:val="28"/>
      </w:rPr>
      <w:fldChar w:fldCharType="begin"/>
    </w:r>
    <w:r>
      <w:rPr>
        <w:rStyle w:val="9"/>
        <w:rFonts w:hint="eastAsia" w:ascii="宋体" w:hAnsi="宋体"/>
        <w:sz w:val="28"/>
        <w:szCs w:val="28"/>
      </w:rPr>
      <w:instrText xml:space="preserve">PAGE  </w:instrText>
    </w:r>
    <w:r>
      <w:rPr>
        <w:rStyle w:val="9"/>
        <w:rFonts w:hint="eastAsia" w:ascii="宋体" w:hAnsi="宋体"/>
        <w:sz w:val="28"/>
        <w:szCs w:val="28"/>
      </w:rPr>
      <w:fldChar w:fldCharType="separate"/>
    </w:r>
    <w:r>
      <w:rPr>
        <w:rStyle w:val="9"/>
        <w:rFonts w:ascii="宋体" w:hAnsi="宋体"/>
        <w:sz w:val="28"/>
        <w:szCs w:val="28"/>
      </w:rPr>
      <w:t>- 1 -</w:t>
    </w:r>
    <w:r>
      <w:rPr>
        <w:rStyle w:val="9"/>
        <w:rFonts w:hint="eastAsia" w:ascii="宋体" w:hAnsi="宋体"/>
        <w:sz w:val="28"/>
        <w:szCs w:val="28"/>
      </w:rPr>
      <w:fldChar w:fldCharType="end"/>
    </w:r>
    <w:r>
      <w:rPr>
        <w:rStyle w:val="9"/>
        <w:rFonts w:hint="eastAsia" w:ascii="宋体" w:hAnsi="宋体"/>
        <w:sz w:val="28"/>
        <w:szCs w:val="28"/>
      </w:rPr>
      <w:t xml:space="preserve">       </w:t>
    </w:r>
  </w:p>
  <w:p w14:paraId="5F695F43">
    <w:pPr>
      <w:pStyle w:val="4"/>
      <w:ind w:right="360" w:firstLine="360"/>
      <w:rPr>
        <w:rFonts w:ascii="仿宋_GB2312" w:eastAsia="仿宋_GB2312"/>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FADB6">
    <w:pPr>
      <w:pStyle w:val="4"/>
      <w:framePr w:wrap="around" w:vAnchor="text" w:hAnchor="margin" w:xAlign="outside" w:y="1"/>
      <w:ind w:firstLine="280"/>
      <w:rPr>
        <w:rStyle w:val="9"/>
        <w:rFonts w:ascii="宋体" w:hAnsi="宋体"/>
        <w:sz w:val="28"/>
        <w:szCs w:val="28"/>
      </w:rPr>
    </w:pPr>
    <w:r>
      <w:rPr>
        <w:rStyle w:val="9"/>
        <w:rFonts w:ascii="宋体" w:hAnsi="宋体"/>
        <w:sz w:val="28"/>
        <w:szCs w:val="28"/>
      </w:rPr>
      <w:fldChar w:fldCharType="begin"/>
    </w:r>
    <w:r>
      <w:rPr>
        <w:rStyle w:val="9"/>
        <w:rFonts w:ascii="宋体" w:hAnsi="宋体"/>
        <w:sz w:val="28"/>
        <w:szCs w:val="28"/>
      </w:rPr>
      <w:instrText xml:space="preserve">PAGE  </w:instrText>
    </w:r>
    <w:r>
      <w:rPr>
        <w:rStyle w:val="9"/>
        <w:rFonts w:ascii="宋体" w:hAnsi="宋体"/>
        <w:sz w:val="28"/>
        <w:szCs w:val="28"/>
      </w:rPr>
      <w:fldChar w:fldCharType="separate"/>
    </w:r>
    <w:r>
      <w:rPr>
        <w:rStyle w:val="9"/>
        <w:rFonts w:ascii="宋体" w:hAnsi="宋体"/>
        <w:sz w:val="28"/>
        <w:szCs w:val="28"/>
      </w:rPr>
      <w:t>- 6 -</w:t>
    </w:r>
    <w:r>
      <w:rPr>
        <w:rStyle w:val="9"/>
        <w:rFonts w:ascii="宋体" w:hAnsi="宋体"/>
        <w:sz w:val="28"/>
        <w:szCs w:val="28"/>
      </w:rPr>
      <w:fldChar w:fldCharType="end"/>
    </w:r>
  </w:p>
  <w:p w14:paraId="05F8161B">
    <w:pPr>
      <w:pStyle w:val="4"/>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E3F"/>
    <w:rsid w:val="00073B6C"/>
    <w:rsid w:val="000D247D"/>
    <w:rsid w:val="00185EB8"/>
    <w:rsid w:val="001B34EF"/>
    <w:rsid w:val="001C30F8"/>
    <w:rsid w:val="001D6461"/>
    <w:rsid w:val="00207E63"/>
    <w:rsid w:val="002249BA"/>
    <w:rsid w:val="0023636C"/>
    <w:rsid w:val="00245951"/>
    <w:rsid w:val="002A4290"/>
    <w:rsid w:val="002D3AA9"/>
    <w:rsid w:val="002F24E1"/>
    <w:rsid w:val="00324EFA"/>
    <w:rsid w:val="003706BC"/>
    <w:rsid w:val="003A160A"/>
    <w:rsid w:val="003D32E4"/>
    <w:rsid w:val="00436D42"/>
    <w:rsid w:val="00485C60"/>
    <w:rsid w:val="004A7C29"/>
    <w:rsid w:val="004F6A54"/>
    <w:rsid w:val="00516876"/>
    <w:rsid w:val="00583C5D"/>
    <w:rsid w:val="00626E3B"/>
    <w:rsid w:val="006B42E0"/>
    <w:rsid w:val="00877ACC"/>
    <w:rsid w:val="008B48A2"/>
    <w:rsid w:val="008C35D1"/>
    <w:rsid w:val="00904F21"/>
    <w:rsid w:val="009131FC"/>
    <w:rsid w:val="00992ACC"/>
    <w:rsid w:val="00992E1C"/>
    <w:rsid w:val="00AA0E3B"/>
    <w:rsid w:val="00AB3857"/>
    <w:rsid w:val="00AC3617"/>
    <w:rsid w:val="00B17B4A"/>
    <w:rsid w:val="00B22F50"/>
    <w:rsid w:val="00B45D5F"/>
    <w:rsid w:val="00BA5095"/>
    <w:rsid w:val="00BB7A7D"/>
    <w:rsid w:val="00BD53EB"/>
    <w:rsid w:val="00C4015A"/>
    <w:rsid w:val="00CD7E3F"/>
    <w:rsid w:val="00CE2791"/>
    <w:rsid w:val="00D10B64"/>
    <w:rsid w:val="00D341D4"/>
    <w:rsid w:val="00D821F1"/>
    <w:rsid w:val="00DE439C"/>
    <w:rsid w:val="00DE6D17"/>
    <w:rsid w:val="00E53648"/>
    <w:rsid w:val="00ED650C"/>
    <w:rsid w:val="00F54865"/>
    <w:rsid w:val="461313D5"/>
    <w:rsid w:val="4E1E76B5"/>
    <w:rsid w:val="7F1E6C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uiPriority w:val="0"/>
    <w:pPr>
      <w:ind w:left="100"/>
    </w:pPr>
  </w:style>
  <w:style w:type="paragraph" w:styleId="3">
    <w:name w:val="Balloon Text"/>
    <w:basedOn w:val="1"/>
    <w:link w:val="11"/>
    <w:qFormat/>
    <w:uiPriority w:val="0"/>
    <w:rPr>
      <w:sz w:val="18"/>
      <w:szCs w:val="18"/>
    </w:r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link w:val="10"/>
    <w:qFormat/>
    <w:uiPriority w:val="0"/>
    <w:pPr>
      <w:widowControl/>
      <w:spacing w:before="100" w:beforeAutospacing="1" w:after="100" w:afterAutospacing="1"/>
      <w:jc w:val="left"/>
    </w:pPr>
    <w:rPr>
      <w:rFonts w:ascii="宋体" w:hAnsi="宋体" w:cs="宋体"/>
      <w:kern w:val="0"/>
      <w:sz w:val="24"/>
    </w:rPr>
  </w:style>
  <w:style w:type="character" w:styleId="9">
    <w:name w:val="page number"/>
    <w:basedOn w:val="8"/>
    <w:qFormat/>
    <w:uiPriority w:val="0"/>
  </w:style>
  <w:style w:type="character" w:customStyle="1" w:styleId="10">
    <w:name w:val="普通(网站) 字符"/>
    <w:link w:val="6"/>
    <w:qFormat/>
    <w:uiPriority w:val="0"/>
    <w:rPr>
      <w:rFonts w:ascii="宋体" w:hAnsi="宋体" w:eastAsia="宋体" w:cs="宋体"/>
      <w:sz w:val="24"/>
      <w:szCs w:val="24"/>
      <w:lang w:val="en-US" w:eastAsia="zh-CN" w:bidi="ar-SA"/>
    </w:rPr>
  </w:style>
  <w:style w:type="character" w:customStyle="1" w:styleId="11">
    <w:name w:val="批注框文本 字符"/>
    <w:basedOn w:val="8"/>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56B7A-E5AE-4303-88E7-E679D4A8F9A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875</Words>
  <Characters>957</Characters>
  <Lines>7</Lines>
  <Paragraphs>2</Paragraphs>
  <TotalTime>1</TotalTime>
  <ScaleCrop>false</ScaleCrop>
  <LinksUpToDate>false</LinksUpToDate>
  <CharactersWithSpaces>957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2026-03-13T09:26:00Z</dcterms:created>
  <dc:creator>User</dc:creator>
  <cp:lastModifiedBy>高兴宁</cp:lastModifiedBy>
  <cp:lastPrinted>2018-11-14T01:23:00Z</cp:lastPrinted>
  <dcterms:modified xsi:type="dcterms:W3CDTF">2026-03-16T09:26:28Z</dcterms:modified>
  <dc:title>融规 [2012] 253号                  签发人：郑卫东</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eyJoZGlkIjoiNzQ0Mjk0NThmZDNjMjQ2YjlhMzE3Njk0MGY0ODFmNjQiLCJ1c2VySWQiOiIzMzY3NjI0NzYifQ==</vt:lpwstr>
  </property>
  <property fmtid="{D5CDD505-2E9C-101B-9397-08002B2CF9AE}" pid="4" name="ICV">
    <vt:lpwstr>7C74D3C1AD5B4E55A20E753C1CCE348E_13</vt:lpwstr>
  </property>
</Properties>
</file>