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7AB9A">
      <w:pPr>
        <w:spacing w:line="540" w:lineRule="auto"/>
        <w:rPr>
          <w:rFonts w:ascii="仿宋_GB2312" w:eastAsia="仿宋_GB2312"/>
          <w:b/>
          <w:sz w:val="32"/>
          <w:szCs w:val="32"/>
        </w:rPr>
      </w:pPr>
      <w:r>
        <w:rPr>
          <w:rFonts w:hint="eastAsia" w:ascii="仿宋_GB2312" w:eastAsia="仿宋_GB2312"/>
          <w:b/>
          <w:sz w:val="32"/>
          <w:szCs w:val="32"/>
        </w:rPr>
        <w:t>附件</w:t>
      </w:r>
    </w:p>
    <w:p w14:paraId="1AC24FB2">
      <w:pPr>
        <w:spacing w:line="540" w:lineRule="auto"/>
        <w:jc w:val="left"/>
        <w:rPr>
          <w:rFonts w:ascii="仿宋_GB2312" w:hAnsi="仿宋" w:eastAsia="仿宋_GB2312"/>
          <w:b/>
          <w:sz w:val="32"/>
          <w:szCs w:val="32"/>
        </w:rPr>
      </w:pPr>
      <w:r>
        <w:rPr>
          <w:rFonts w:hint="eastAsia" w:ascii="仿宋_GB2312" w:hAnsi="仿宋" w:eastAsia="仿宋_GB2312"/>
          <w:b/>
          <w:sz w:val="32"/>
          <w:szCs w:val="32"/>
        </w:rPr>
        <w:t>《福清市东部新城控规修编10-B-16等地块（龙江排涝C2标段）动态维护》主要内容及规划图纸</w:t>
      </w:r>
    </w:p>
    <w:p w14:paraId="68C0AC9E">
      <w:pPr>
        <w:spacing w:line="600" w:lineRule="exact"/>
        <w:ind w:firstLine="643" w:firstLineChars="200"/>
        <w:rPr>
          <w:rFonts w:ascii="仿宋_GB2312" w:eastAsia="仿宋_GB2312"/>
          <w:b/>
          <w:sz w:val="32"/>
          <w:szCs w:val="32"/>
        </w:rPr>
      </w:pPr>
      <w:r>
        <w:rPr>
          <w:rFonts w:hint="eastAsia" w:ascii="仿宋_GB2312" w:eastAsia="仿宋_GB2312"/>
          <w:b/>
          <w:sz w:val="32"/>
          <w:szCs w:val="32"/>
        </w:rPr>
        <w:t>一、主要内容</w:t>
      </w:r>
    </w:p>
    <w:p w14:paraId="7DE5E121">
      <w:pPr>
        <w:spacing w:line="600" w:lineRule="exact"/>
        <w:ind w:firstLine="643" w:firstLineChars="200"/>
        <w:rPr>
          <w:rFonts w:ascii="仿宋_GB2312" w:eastAsia="仿宋_GB2312"/>
          <w:b/>
          <w:sz w:val="32"/>
          <w:szCs w:val="32"/>
        </w:rPr>
      </w:pPr>
      <w:r>
        <w:rPr>
          <w:rFonts w:hint="eastAsia" w:ascii="仿宋_GB2312" w:eastAsia="仿宋_GB2312"/>
          <w:b/>
          <w:sz w:val="32"/>
          <w:szCs w:val="32"/>
        </w:rPr>
        <w:t>1、项目概况</w:t>
      </w:r>
    </w:p>
    <w:p w14:paraId="61D2F52F">
      <w:pPr>
        <w:tabs>
          <w:tab w:val="left" w:pos="720"/>
        </w:tabs>
        <w:spacing w:line="600" w:lineRule="exact"/>
        <w:ind w:firstLine="640" w:firstLineChars="200"/>
        <w:rPr>
          <w:rFonts w:ascii="仿宋_GB2312" w:eastAsia="仿宋_GB2312"/>
          <w:sz w:val="32"/>
          <w:szCs w:val="32"/>
        </w:rPr>
      </w:pPr>
      <w:r>
        <w:rPr>
          <w:rFonts w:hint="eastAsia" w:ascii="仿宋_GB2312" w:eastAsia="仿宋_GB2312"/>
          <w:sz w:val="32"/>
          <w:szCs w:val="32"/>
        </w:rPr>
        <w:t>项目地块位于福清市中心城区东部新城片区的</w:t>
      </w:r>
      <w:r>
        <w:rPr>
          <w:rFonts w:ascii="仿宋_GB2312" w:eastAsia="仿宋_GB2312"/>
          <w:sz w:val="32"/>
          <w:szCs w:val="32"/>
        </w:rPr>
        <w:t>350181-10-B基本单元，距离福清火车站2.5公里，北至龙江、南至龙江路，西至康成建材、东至第八医院，周围交通区位条件较为便利，是福清市东部新城片区的重要组成部分。</w:t>
      </w:r>
    </w:p>
    <w:p w14:paraId="14E8A3D2">
      <w:pPr>
        <w:tabs>
          <w:tab w:val="left" w:pos="720"/>
        </w:tabs>
        <w:spacing w:line="600" w:lineRule="exact"/>
        <w:ind w:firstLine="640" w:firstLineChars="200"/>
        <w:rPr>
          <w:rFonts w:ascii="仿宋_GB2312" w:eastAsia="仿宋_GB2312"/>
          <w:sz w:val="32"/>
          <w:szCs w:val="32"/>
        </w:rPr>
      </w:pPr>
      <w:r>
        <w:rPr>
          <w:rFonts w:hint="eastAsia" w:ascii="仿宋_GB2312" w:eastAsia="仿宋_GB2312"/>
          <w:sz w:val="32"/>
          <w:szCs w:val="32"/>
        </w:rPr>
        <w:t>涉及拟调整地块面积</w:t>
      </w:r>
      <w:r>
        <w:rPr>
          <w:rFonts w:ascii="仿宋_GB2312" w:eastAsia="仿宋_GB2312"/>
          <w:sz w:val="32"/>
          <w:szCs w:val="32"/>
        </w:rPr>
        <w:t>8.02公顷，其中涉及城镇开发边界内面积2.22公顷，涉及原地块10块，编号为：350181-10-B-15</w:t>
      </w:r>
      <w:r>
        <w:rPr>
          <w:rFonts w:hint="eastAsia" w:ascii="仿宋_GB2312" w:eastAsia="仿宋_GB2312"/>
          <w:sz w:val="32"/>
          <w:szCs w:val="32"/>
        </w:rPr>
        <w:t>～</w:t>
      </w:r>
      <w:r>
        <w:rPr>
          <w:rFonts w:ascii="仿宋_GB2312" w:eastAsia="仿宋_GB2312"/>
          <w:sz w:val="32"/>
          <w:szCs w:val="32"/>
        </w:rPr>
        <w:t>18、350181-10-B-20、 350181-10-B-26、 350181-10-B-29</w:t>
      </w:r>
      <w:r>
        <w:rPr>
          <w:rFonts w:hint="eastAsia" w:ascii="仿宋_GB2312" w:eastAsia="仿宋_GB2312"/>
          <w:sz w:val="32"/>
          <w:szCs w:val="32"/>
        </w:rPr>
        <w:t>～</w:t>
      </w:r>
      <w:r>
        <w:rPr>
          <w:rFonts w:ascii="仿宋_GB2312" w:eastAsia="仿宋_GB2312"/>
          <w:sz w:val="32"/>
          <w:szCs w:val="32"/>
        </w:rPr>
        <w:t>32。</w:t>
      </w:r>
    </w:p>
    <w:p w14:paraId="3F5AE45D">
      <w:pPr>
        <w:spacing w:line="60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、用地性质调整</w:t>
      </w:r>
    </w:p>
    <w:p w14:paraId="505029C7">
      <w:pPr>
        <w:tabs>
          <w:tab w:val="left" w:pos="720"/>
        </w:tabs>
        <w:spacing w:line="600" w:lineRule="exact"/>
        <w:ind w:firstLine="640" w:firstLineChars="200"/>
        <w:rPr>
          <w:rFonts w:ascii="仿宋_GB2312" w:eastAsia="仿宋_GB2312"/>
          <w:sz w:val="32"/>
          <w:szCs w:val="32"/>
        </w:rPr>
      </w:pPr>
      <w:r>
        <w:rPr>
          <w:rFonts w:hint="eastAsia" w:ascii="仿宋_GB2312" w:eastAsia="仿宋_GB2312"/>
          <w:sz w:val="32"/>
          <w:szCs w:val="32"/>
        </w:rPr>
        <w:t>地块用地性质分类和代码参照最新《国土空间调查、规划、用途管制用地用海分类指南》标准进行调整。</w:t>
      </w:r>
    </w:p>
    <w:p w14:paraId="1C403B65">
      <w:pPr>
        <w:tabs>
          <w:tab w:val="left" w:pos="720"/>
        </w:tabs>
        <w:spacing w:line="600" w:lineRule="exact"/>
        <w:ind w:firstLine="640" w:firstLineChars="200"/>
        <w:rPr>
          <w:rFonts w:ascii="仿宋_GB2312" w:eastAsia="仿宋_GB2312"/>
          <w:sz w:val="32"/>
          <w:szCs w:val="32"/>
        </w:rPr>
      </w:pPr>
      <w:r>
        <w:rPr>
          <w:rFonts w:hint="eastAsia" w:ascii="仿宋_GB2312" w:eastAsia="仿宋_GB2312"/>
          <w:sz w:val="32"/>
          <w:szCs w:val="32"/>
        </w:rPr>
        <w:t>原控规</w:t>
      </w:r>
      <w:r>
        <w:rPr>
          <w:rFonts w:ascii="仿宋_GB2312" w:eastAsia="仿宋_GB2312"/>
          <w:sz w:val="32"/>
          <w:szCs w:val="32"/>
        </w:rPr>
        <w:t>10-B-15</w:t>
      </w:r>
      <w:r>
        <w:rPr>
          <w:rFonts w:hint="eastAsia" w:ascii="仿宋_GB2312" w:eastAsia="仿宋_GB2312"/>
          <w:sz w:val="32"/>
          <w:szCs w:val="32"/>
        </w:rPr>
        <w:t>～</w:t>
      </w:r>
      <w:r>
        <w:rPr>
          <w:rFonts w:ascii="仿宋_GB2312" w:eastAsia="仿宋_GB2312"/>
          <w:sz w:val="32"/>
          <w:szCs w:val="32"/>
        </w:rPr>
        <w:t>18、10-B-20、10-B-26、10-B-29</w:t>
      </w:r>
      <w:r>
        <w:rPr>
          <w:rFonts w:hint="eastAsia" w:ascii="仿宋_GB2312" w:eastAsia="仿宋_GB2312"/>
          <w:sz w:val="32"/>
          <w:szCs w:val="32"/>
        </w:rPr>
        <w:t>～</w:t>
      </w:r>
      <w:r>
        <w:rPr>
          <w:rFonts w:ascii="仿宋_GB2312" w:eastAsia="仿宋_GB2312"/>
          <w:sz w:val="32"/>
          <w:szCs w:val="32"/>
        </w:rPr>
        <w:t>32用地性质为一类工业用地（M1）、公园绿地（G1）、水域（E1）、防洪设施用地（U32）、医疗卫生用地（A5），本轮调整按照项目用地调整为10-B-37水工设施用地（1311）、10-B-38河流水面（1701）和10-B-39水工设施</w:t>
      </w:r>
      <w:bookmarkStart w:id="0" w:name="_GoBack"/>
      <w:bookmarkEnd w:id="0"/>
      <w:r>
        <w:rPr>
          <w:rFonts w:ascii="仿宋_GB2312" w:eastAsia="仿宋_GB2312"/>
          <w:sz w:val="32"/>
          <w:szCs w:val="32"/>
        </w:rPr>
        <w:t>用地（1311）。</w:t>
      </w:r>
    </w:p>
    <w:p w14:paraId="59CD4413">
      <w:pPr>
        <w:tabs>
          <w:tab w:val="left" w:pos="720"/>
        </w:tabs>
        <w:spacing w:line="600" w:lineRule="exact"/>
        <w:ind w:firstLine="643" w:firstLineChars="200"/>
        <w:rPr>
          <w:rFonts w:ascii="仿宋_GB2312" w:eastAsia="仿宋_GB2312"/>
          <w:b/>
          <w:sz w:val="32"/>
          <w:szCs w:val="32"/>
        </w:rPr>
      </w:pPr>
      <w:r>
        <w:rPr>
          <w:rFonts w:hint="eastAsia" w:ascii="仿宋_GB2312" w:eastAsia="仿宋_GB2312"/>
          <w:b/>
          <w:sz w:val="32"/>
          <w:szCs w:val="32"/>
        </w:rPr>
        <w:t>3、功能调整合理性</w:t>
      </w:r>
    </w:p>
    <w:p w14:paraId="65252B13">
      <w:pPr>
        <w:tabs>
          <w:tab w:val="left" w:pos="720"/>
        </w:tabs>
        <w:spacing w:line="600" w:lineRule="exact"/>
        <w:ind w:firstLine="640" w:firstLineChars="200"/>
        <w:rPr>
          <w:rFonts w:ascii="仿宋_GB2312" w:eastAsia="仿宋_GB2312"/>
          <w:sz w:val="32"/>
          <w:szCs w:val="32"/>
        </w:rPr>
      </w:pPr>
      <w:r>
        <w:rPr>
          <w:rFonts w:hint="eastAsia" w:ascii="仿宋_GB2312" w:eastAsia="仿宋_GB2312"/>
          <w:sz w:val="32"/>
          <w:szCs w:val="32"/>
        </w:rPr>
        <w:t>本次项目属于城市基础设施建设，项目开发建设有利于福清市东部新城和东片北师大区域建设发展需求，承接周边片区防洪排涝压力，提升区域城市防灾综合能力，故具有功能调整合理性。</w:t>
      </w:r>
    </w:p>
    <w:p w14:paraId="50F7F2A6">
      <w:pPr>
        <w:tabs>
          <w:tab w:val="left" w:pos="720"/>
        </w:tabs>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苍霞排涝站属于人工修建的常水位岸线以上的防洪堤、防洪枢纽，按照用地用海分类标准，属于水工设施用地。故将防洪设施用地调整为水工设施用地具体合理性；目结合现状用地围墙和土地权属界线，将上版规划中一类工业用地和医疗卫生用地调整为水工设施用地和河流水面，提高土地利用效率，具有功能调整合理性；上版中城镇道路用地属于弹性路网，实际路网建设按照具体建设方案调整，本次将调整为水工设施用地和河流水面，不影响区域道路通行，具有合理性。</w:t>
      </w:r>
    </w:p>
    <w:p w14:paraId="51810518">
      <w:pPr>
        <w:tabs>
          <w:tab w:val="left" w:pos="720"/>
        </w:tabs>
        <w:spacing w:line="600" w:lineRule="exact"/>
        <w:ind w:firstLine="643" w:firstLineChars="200"/>
        <w:rPr>
          <w:rFonts w:ascii="仿宋_GB2312" w:eastAsia="仿宋_GB2312"/>
          <w:b/>
          <w:sz w:val="32"/>
          <w:szCs w:val="32"/>
        </w:rPr>
      </w:pPr>
      <w:r>
        <w:rPr>
          <w:rFonts w:hint="eastAsia" w:ascii="仿宋_GB2312" w:eastAsia="仿宋_GB2312"/>
          <w:b/>
          <w:sz w:val="32"/>
          <w:szCs w:val="32"/>
        </w:rPr>
        <w:t>4、开发强度合理性</w:t>
      </w:r>
    </w:p>
    <w:p w14:paraId="1ECE795B">
      <w:pPr>
        <w:tabs>
          <w:tab w:val="left" w:pos="720"/>
        </w:tabs>
        <w:spacing w:line="600" w:lineRule="exact"/>
        <w:ind w:firstLine="640" w:firstLineChars="200"/>
        <w:rPr>
          <w:rFonts w:ascii="仿宋_GB2312" w:eastAsia="仿宋_GB2312"/>
          <w:sz w:val="32"/>
          <w:szCs w:val="32"/>
        </w:rPr>
      </w:pPr>
      <w:r>
        <w:rPr>
          <w:rFonts w:hint="eastAsia" w:ascii="仿宋_GB2312" w:eastAsia="仿宋_GB2312"/>
          <w:sz w:val="32"/>
          <w:szCs w:val="32"/>
        </w:rPr>
        <w:t>用地指标符合《福建省城市规划管理技术规定》《福州市国土空间规划管理技术规定（试行）》《福建省城市绿地建设导则》等要求。</w:t>
      </w:r>
    </w:p>
    <w:p w14:paraId="15CD2E36">
      <w:pPr>
        <w:ind w:firstLine="643" w:firstLineChars="200"/>
        <w:rPr>
          <w:rFonts w:ascii="仿宋_GB2312" w:eastAsia="仿宋_GB2312"/>
          <w:b/>
          <w:sz w:val="32"/>
          <w:szCs w:val="32"/>
        </w:rPr>
      </w:pPr>
      <w:r>
        <w:rPr>
          <w:rFonts w:hint="eastAsia" w:ascii="仿宋_GB2312" w:eastAsia="仿宋_GB2312"/>
          <w:b/>
          <w:sz w:val="32"/>
          <w:szCs w:val="32"/>
        </w:rPr>
        <w:t>二、规划图纸</w:t>
      </w:r>
    </w:p>
    <w:p w14:paraId="362A4D11">
      <w:pPr>
        <w:ind w:firstLine="643" w:firstLineChars="200"/>
        <w:rPr>
          <w:rFonts w:ascii="仿宋_GB2312" w:eastAsia="仿宋_GB2312"/>
          <w:b/>
          <w:sz w:val="32"/>
          <w:szCs w:val="32"/>
        </w:rPr>
      </w:pPr>
      <w:r>
        <w:rPr>
          <w:rFonts w:hint="eastAsia" w:ascii="仿宋_GB2312" w:eastAsia="仿宋_GB2312"/>
          <w:b/>
          <w:sz w:val="32"/>
          <w:szCs w:val="32"/>
        </w:rPr>
        <w:t>调整前后土地使用规划图</w:t>
      </w:r>
    </w:p>
    <w:p w14:paraId="383EA302">
      <w:pPr>
        <w:adjustRightInd w:val="0"/>
        <w:snapToGrid w:val="0"/>
        <w:jc w:val="center"/>
        <w:rPr>
          <w:rFonts w:ascii="仿宋_GB2312" w:eastAsia="仿宋_GB2312"/>
          <w:b/>
          <w:sz w:val="32"/>
          <w:szCs w:val="32"/>
        </w:rPr>
      </w:pPr>
    </w:p>
    <w:p w14:paraId="35DD52EA">
      <w:pPr>
        <w:adjustRightInd w:val="0"/>
        <w:snapToGrid w:val="0"/>
        <w:jc w:val="center"/>
        <w:rPr>
          <w:rFonts w:ascii="仿宋_GB2312" w:eastAsia="仿宋_GB2312"/>
          <w:b/>
          <w:sz w:val="32"/>
          <w:szCs w:val="32"/>
        </w:rPr>
      </w:pPr>
      <w:r>
        <w:drawing>
          <wp:inline distT="0" distB="0" distL="0" distR="0">
            <wp:extent cx="4086225" cy="433514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097462" cy="4347097"/>
                    </a:xfrm>
                    <a:prstGeom prst="rect">
                      <a:avLst/>
                    </a:prstGeom>
                  </pic:spPr>
                </pic:pic>
              </a:graphicData>
            </a:graphic>
          </wp:inline>
        </w:drawing>
      </w:r>
    </w:p>
    <w:p w14:paraId="71E27194">
      <w:pPr>
        <w:ind w:firstLine="420" w:firstLineChars="200"/>
        <w:rPr>
          <w:rFonts w:ascii="仿宋_GB2312" w:eastAsia="仿宋_GB2312"/>
          <w:b/>
          <w:sz w:val="32"/>
          <w:szCs w:val="32"/>
        </w:rPr>
      </w:pPr>
      <w:r>
        <w:drawing>
          <wp:anchor distT="0" distB="0" distL="114300" distR="114300" simplePos="0" relativeHeight="251659264" behindDoc="0" locked="0" layoutInCell="1" allowOverlap="1">
            <wp:simplePos x="0" y="0"/>
            <wp:positionH relativeFrom="margin">
              <wp:posOffset>601980</wp:posOffset>
            </wp:positionH>
            <wp:positionV relativeFrom="paragraph">
              <wp:posOffset>27940</wp:posOffset>
            </wp:positionV>
            <wp:extent cx="4086225" cy="4321810"/>
            <wp:effectExtent l="0" t="0" r="9525"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rcRect r="1153"/>
                    <a:stretch>
                      <a:fillRect/>
                    </a:stretch>
                  </pic:blipFill>
                  <pic:spPr>
                    <a:xfrm>
                      <a:off x="0" y="0"/>
                      <a:ext cx="4086225" cy="4321810"/>
                    </a:xfrm>
                    <a:prstGeom prst="rect">
                      <a:avLst/>
                    </a:prstGeom>
                    <a:ln>
                      <a:noFill/>
                    </a:ln>
                  </pic:spPr>
                </pic:pic>
              </a:graphicData>
            </a:graphic>
          </wp:anchor>
        </w:drawing>
      </w:r>
    </w:p>
    <w:p w14:paraId="39E1859C">
      <w:pPr>
        <w:rPr>
          <w:rFonts w:ascii="仿宋_GB2312" w:eastAsia="仿宋_GB2312"/>
          <w:b/>
          <w:sz w:val="32"/>
          <w:szCs w:val="32"/>
        </w:rPr>
      </w:pPr>
    </w:p>
    <w:p w14:paraId="05D548BF">
      <w:pPr>
        <w:adjustRightInd w:val="0"/>
        <w:snapToGrid w:val="0"/>
        <w:jc w:val="center"/>
      </w:pP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4171724"/>
      <w:docPartObj>
        <w:docPartGallery w:val="autotext"/>
      </w:docPartObj>
    </w:sdtPr>
    <w:sdtEndPr>
      <w:rPr>
        <w:rFonts w:ascii="宋体" w:hAnsi="宋体"/>
        <w:sz w:val="28"/>
        <w:szCs w:val="28"/>
      </w:rPr>
    </w:sdtEndPr>
    <w:sdtContent>
      <w:p w14:paraId="0CB0061D">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1875208"/>
      <w:docPartObj>
        <w:docPartGallery w:val="autotext"/>
      </w:docPartObj>
    </w:sdtPr>
    <w:sdtEndPr>
      <w:rPr>
        <w:rFonts w:ascii="宋体" w:hAnsi="宋体"/>
        <w:sz w:val="28"/>
        <w:szCs w:val="28"/>
      </w:rPr>
    </w:sdtEndPr>
    <w:sdtContent>
      <w:p w14:paraId="0E031175">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F4"/>
    <w:rsid w:val="001E30E9"/>
    <w:rsid w:val="002E0E22"/>
    <w:rsid w:val="0050188B"/>
    <w:rsid w:val="005272BE"/>
    <w:rsid w:val="005E4859"/>
    <w:rsid w:val="0078073F"/>
    <w:rsid w:val="007C5074"/>
    <w:rsid w:val="007C7CC0"/>
    <w:rsid w:val="008403F0"/>
    <w:rsid w:val="008F2D22"/>
    <w:rsid w:val="009A66E7"/>
    <w:rsid w:val="009C690E"/>
    <w:rsid w:val="00A013F4"/>
    <w:rsid w:val="00A10CE1"/>
    <w:rsid w:val="00BD6158"/>
    <w:rsid w:val="00C6579A"/>
    <w:rsid w:val="00E31E13"/>
    <w:rsid w:val="00EE5A94"/>
    <w:rsid w:val="00F55B11"/>
    <w:rsid w:val="00F82C4B"/>
    <w:rsid w:val="122A6F9C"/>
    <w:rsid w:val="368B4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character" w:customStyle="1" w:styleId="8">
    <w:name w:val="页脚 字符"/>
    <w:basedOn w:val="6"/>
    <w:link w:val="2"/>
    <w:uiPriority w:val="99"/>
    <w:rPr>
      <w:rFonts w:ascii="Times New Roman" w:hAnsi="Times New Roman" w:eastAsia="宋体" w:cs="Times New Roman"/>
      <w:sz w:val="18"/>
      <w:szCs w:val="18"/>
    </w:rPr>
  </w:style>
  <w:style w:type="character" w:customStyle="1" w:styleId="9">
    <w:name w:val="页眉 字符"/>
    <w:basedOn w:val="6"/>
    <w:link w:val="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747</Words>
  <Characters>886</Characters>
  <Lines>6</Lines>
  <Paragraphs>1</Paragraphs>
  <TotalTime>12</TotalTime>
  <ScaleCrop>false</ScaleCrop>
  <LinksUpToDate>false</LinksUpToDate>
  <CharactersWithSpaces>888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2024-08-07T01:22:00Z</dcterms:created>
  <dc:creator>Administrator</dc:creator>
  <cp:lastModifiedBy>高兴宁</cp:lastModifiedBy>
  <dcterms:modified xsi:type="dcterms:W3CDTF">2025-05-16T00:49:18Z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eyJoZGlkIjoiNzQ0Mjk0NThmZDNjMjQ2YjlhMzE3Njk0MGY0ODFmNjQiLCJ1c2VySWQiOiIzMzY3NjI0NzYifQ==</vt:lpwstr>
  </property>
  <property fmtid="{D5CDD505-2E9C-101B-9397-08002B2CF9AE}" pid="3" name="KSOProductBuildVer">
    <vt:lpwstr>2052-12.1.0.20784</vt:lpwstr>
  </property>
  <property fmtid="{D5CDD505-2E9C-101B-9397-08002B2CF9AE}" pid="4" name="ICV">
    <vt:lpwstr>F98761122E6C4E28B555D1641E130029_13</vt:lpwstr>
  </property>
</Properties>
</file>