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FFFCA6">
      <w:pPr>
        <w:spacing w:line="540" w:lineRule="auto"/>
        <w:rPr>
          <w:rFonts w:ascii="仿宋_GB2312" w:eastAsia="仿宋_GB2312"/>
          <w:b/>
          <w:bCs/>
          <w:sz w:val="32"/>
          <w:szCs w:val="32"/>
        </w:rPr>
      </w:pPr>
      <w:r>
        <w:rPr>
          <w:rFonts w:hint="eastAsia" w:ascii="仿宋_GB2312" w:eastAsia="仿宋_GB2312"/>
          <w:b/>
          <w:bCs/>
          <w:sz w:val="32"/>
          <w:szCs w:val="32"/>
        </w:rPr>
        <w:t>附件</w:t>
      </w:r>
    </w:p>
    <w:p w14:paraId="428C4864">
      <w:pPr>
        <w:spacing w:line="540" w:lineRule="auto"/>
        <w:rPr>
          <w:rFonts w:ascii="仿宋_GB2312" w:eastAsia="仿宋_GB2312"/>
          <w:sz w:val="36"/>
          <w:szCs w:val="32"/>
        </w:rPr>
      </w:pPr>
      <w:r>
        <w:rPr>
          <w:rFonts w:hint="eastAsia" w:ascii="仿宋_GB2312" w:eastAsia="仿宋_GB2312"/>
          <w:sz w:val="36"/>
          <w:szCs w:val="32"/>
        </w:rPr>
        <w:t>福清市东部新城局部地段控制性详细规划修编的主要内容及规划图纸</w:t>
      </w:r>
    </w:p>
    <w:p w14:paraId="1AC2073C">
      <w:pPr>
        <w:rPr>
          <w:rFonts w:ascii="仿宋_GB2312" w:eastAsia="仿宋_GB2312"/>
          <w:b/>
          <w:sz w:val="32"/>
          <w:szCs w:val="32"/>
        </w:rPr>
      </w:pPr>
      <w:r>
        <w:rPr>
          <w:rFonts w:hint="eastAsia" w:ascii="仿宋_GB2312" w:eastAsia="仿宋_GB2312"/>
          <w:b/>
          <w:sz w:val="32"/>
          <w:szCs w:val="32"/>
        </w:rPr>
        <w:t>一、主要内容</w:t>
      </w:r>
    </w:p>
    <w:p w14:paraId="209C59A6">
      <w:pPr>
        <w:ind w:firstLine="643" w:firstLineChars="200"/>
        <w:rPr>
          <w:rFonts w:ascii="仿宋_GB2312" w:eastAsia="仿宋_GB2312"/>
          <w:b/>
          <w:sz w:val="32"/>
          <w:szCs w:val="32"/>
        </w:rPr>
      </w:pPr>
      <w:r>
        <w:rPr>
          <w:rFonts w:hint="eastAsia" w:ascii="仿宋_GB2312" w:eastAsia="仿宋_GB2312"/>
          <w:b/>
          <w:sz w:val="32"/>
          <w:szCs w:val="32"/>
        </w:rPr>
        <w:t>1、区位及规划范围</w:t>
      </w:r>
    </w:p>
    <w:p w14:paraId="5DB797A1">
      <w:pPr>
        <w:ind w:firstLine="640" w:firstLineChars="200"/>
        <w:rPr>
          <w:rFonts w:ascii="仿宋_GB2312" w:eastAsia="仿宋_GB2312"/>
          <w:sz w:val="32"/>
          <w:szCs w:val="32"/>
        </w:rPr>
      </w:pPr>
      <w:r>
        <w:rPr>
          <w:rFonts w:hint="eastAsia" w:ascii="仿宋_GB2312" w:eastAsia="仿宋_GB2312"/>
          <w:sz w:val="32"/>
          <w:szCs w:val="32"/>
        </w:rPr>
        <w:t>本次规划范围（以下简称“规划区”）位于福清市东部新城核心区，四至范围：北至元华路，西至玉融大道，南至里美路，东至北厝路，规划总面积48.24公顷。</w:t>
      </w:r>
    </w:p>
    <w:p w14:paraId="0ADDE875">
      <w:pPr>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、功能定位</w:t>
      </w:r>
    </w:p>
    <w:p w14:paraId="7E2B767D">
      <w:pPr>
        <w:ind w:firstLine="640" w:firstLineChars="200"/>
        <w:rPr>
          <w:rFonts w:ascii="仿宋_GB2312" w:eastAsia="仿宋_GB2312"/>
          <w:sz w:val="32"/>
          <w:szCs w:val="32"/>
        </w:rPr>
      </w:pPr>
      <w:r>
        <w:rPr>
          <w:rFonts w:hint="eastAsia" w:ascii="仿宋_GB2312" w:eastAsia="仿宋_GB2312"/>
          <w:sz w:val="32"/>
          <w:szCs w:val="32"/>
        </w:rPr>
        <w:t>以“创新侨城、八闽福地”为总体目标，将规划区打造成为</w:t>
      </w:r>
      <w:r>
        <w:rPr>
          <w:rFonts w:hint="eastAsia" w:ascii="仿宋_GB2312" w:eastAsia="仿宋_GB2312"/>
          <w:b/>
          <w:sz w:val="32"/>
          <w:szCs w:val="32"/>
        </w:rPr>
        <w:t>东部新城核心区内重要的创意产业孵化空间</w:t>
      </w:r>
      <w:r>
        <w:rPr>
          <w:rFonts w:hint="eastAsia" w:ascii="仿宋_GB2312" w:eastAsia="仿宋_GB2312"/>
          <w:b/>
          <w:bCs/>
          <w:sz w:val="32"/>
          <w:szCs w:val="32"/>
        </w:rPr>
        <w:t>。</w:t>
      </w:r>
    </w:p>
    <w:p w14:paraId="646D9D22">
      <w:pPr>
        <w:ind w:firstLine="643" w:firstLineChars="200"/>
        <w:rPr>
          <w:rFonts w:ascii="仿宋_GB2312" w:eastAsia="仿宋_GB2312"/>
          <w:b/>
          <w:sz w:val="32"/>
          <w:szCs w:val="32"/>
        </w:rPr>
      </w:pPr>
      <w:r>
        <w:rPr>
          <w:rFonts w:ascii="仿宋_GB2312" w:eastAsia="仿宋_GB2312"/>
          <w:b/>
          <w:sz w:val="32"/>
          <w:szCs w:val="32"/>
        </w:rPr>
        <w:t>3</w:t>
      </w:r>
      <w:r>
        <w:rPr>
          <w:rFonts w:hint="eastAsia" w:ascii="仿宋_GB2312" w:eastAsia="仿宋_GB2312"/>
          <w:b/>
          <w:sz w:val="32"/>
          <w:szCs w:val="32"/>
        </w:rPr>
        <w:t>、发展规模</w:t>
      </w:r>
    </w:p>
    <w:p w14:paraId="5C3207C7">
      <w:pPr>
        <w:ind w:firstLine="640" w:firstLineChars="200"/>
        <w:rPr>
          <w:rFonts w:ascii="仿宋_GB2312" w:eastAsia="仿宋_GB2312"/>
          <w:sz w:val="32"/>
          <w:szCs w:val="32"/>
        </w:rPr>
      </w:pPr>
      <w:r>
        <w:rPr>
          <w:rFonts w:hint="eastAsia" w:ascii="仿宋_GB2312" w:eastAsia="仿宋_GB2312"/>
          <w:sz w:val="32"/>
          <w:szCs w:val="32"/>
        </w:rPr>
        <w:t>规划区内常住人口约为</w:t>
      </w:r>
      <w:r>
        <w:rPr>
          <w:rFonts w:ascii="仿宋_GB2312" w:eastAsia="仿宋_GB2312"/>
          <w:sz w:val="32"/>
          <w:szCs w:val="32"/>
        </w:rPr>
        <w:t>0.71</w:t>
      </w:r>
      <w:r>
        <w:rPr>
          <w:rFonts w:hint="eastAsia" w:ascii="仿宋_GB2312" w:eastAsia="仿宋_GB2312"/>
          <w:sz w:val="32"/>
          <w:szCs w:val="32"/>
        </w:rPr>
        <w:t>万，规划区城市建设用地</w:t>
      </w:r>
      <w:r>
        <w:rPr>
          <w:rFonts w:ascii="仿宋_GB2312" w:eastAsia="仿宋_GB2312"/>
          <w:sz w:val="32"/>
          <w:szCs w:val="32"/>
        </w:rPr>
        <w:t>48.24</w:t>
      </w:r>
      <w:r>
        <w:rPr>
          <w:rFonts w:hint="eastAsia" w:ascii="仿宋_GB2312" w:eastAsia="仿宋_GB2312"/>
          <w:sz w:val="32"/>
          <w:szCs w:val="32"/>
        </w:rPr>
        <w:t>公顷。</w:t>
      </w:r>
    </w:p>
    <w:p w14:paraId="066142C0">
      <w:pPr>
        <w:ind w:firstLine="643" w:firstLineChars="200"/>
        <w:rPr>
          <w:rFonts w:ascii="仿宋_GB2312" w:eastAsia="仿宋_GB2312"/>
          <w:b/>
          <w:sz w:val="32"/>
          <w:szCs w:val="32"/>
        </w:rPr>
      </w:pPr>
      <w:r>
        <w:rPr>
          <w:rFonts w:ascii="仿宋_GB2312" w:eastAsia="仿宋_GB2312"/>
          <w:b/>
          <w:sz w:val="32"/>
          <w:szCs w:val="32"/>
        </w:rPr>
        <w:t>4</w:t>
      </w:r>
      <w:r>
        <w:rPr>
          <w:rFonts w:hint="eastAsia" w:ascii="仿宋_GB2312" w:eastAsia="仿宋_GB2312"/>
          <w:b/>
          <w:sz w:val="32"/>
          <w:szCs w:val="32"/>
        </w:rPr>
        <w:t>、规划结构</w:t>
      </w:r>
    </w:p>
    <w:p w14:paraId="5C214DD3">
      <w:pPr>
        <w:ind w:firstLine="640" w:firstLineChars="200"/>
        <w:rPr>
          <w:rFonts w:ascii="仿宋_GB2312" w:eastAsia="仿宋_GB2312"/>
          <w:sz w:val="32"/>
          <w:szCs w:val="32"/>
        </w:rPr>
      </w:pPr>
      <w:r>
        <w:rPr>
          <w:rFonts w:hint="eastAsia" w:ascii="仿宋_GB2312" w:eastAsia="仿宋_GB2312"/>
          <w:sz w:val="32"/>
          <w:szCs w:val="32"/>
        </w:rPr>
        <w:t>本区规划总体布局形成</w:t>
      </w:r>
      <w:r>
        <w:rPr>
          <w:rFonts w:hint="eastAsia" w:ascii="仿宋_GB2312" w:eastAsia="仿宋_GB2312"/>
          <w:b/>
          <w:sz w:val="32"/>
          <w:szCs w:val="32"/>
        </w:rPr>
        <w:t>“一心一轴两片区”</w:t>
      </w:r>
      <w:r>
        <w:rPr>
          <w:rFonts w:hint="eastAsia" w:ascii="仿宋_GB2312" w:eastAsia="仿宋_GB2312"/>
          <w:sz w:val="32"/>
          <w:szCs w:val="32"/>
        </w:rPr>
        <w:t>的规划空间结构。</w:t>
      </w:r>
    </w:p>
    <w:p w14:paraId="2EDD0DA0">
      <w:pPr>
        <w:ind w:firstLine="643" w:firstLineChars="200"/>
        <w:rPr>
          <w:rFonts w:ascii="仿宋_GB2312" w:eastAsia="仿宋_GB2312"/>
          <w:b/>
          <w:sz w:val="32"/>
          <w:szCs w:val="32"/>
        </w:rPr>
      </w:pPr>
      <w:r>
        <w:rPr>
          <w:rFonts w:ascii="仿宋_GB2312" w:eastAsia="仿宋_GB2312"/>
          <w:b/>
          <w:sz w:val="32"/>
          <w:szCs w:val="32"/>
        </w:rPr>
        <w:t>5</w:t>
      </w:r>
      <w:r>
        <w:rPr>
          <w:rFonts w:hint="eastAsia" w:ascii="仿宋_GB2312" w:eastAsia="仿宋_GB2312"/>
          <w:b/>
          <w:sz w:val="32"/>
          <w:szCs w:val="32"/>
        </w:rPr>
        <w:t>、功能布局规划</w:t>
      </w:r>
    </w:p>
    <w:p w14:paraId="278A68B3">
      <w:pPr>
        <w:ind w:firstLine="643" w:firstLineChars="200"/>
        <w:rPr>
          <w:rFonts w:ascii="仿宋_GB2312" w:eastAsia="仿宋_GB2312"/>
          <w:b/>
          <w:sz w:val="32"/>
          <w:szCs w:val="32"/>
        </w:rPr>
      </w:pPr>
      <w:r>
        <w:rPr>
          <w:rFonts w:hint="eastAsia" w:ascii="仿宋_GB2312" w:eastAsia="仿宋_GB2312"/>
          <w:b/>
          <w:sz w:val="32"/>
          <w:szCs w:val="32"/>
        </w:rPr>
        <w:t>“一心”：公共服务核心。</w:t>
      </w:r>
      <w:r>
        <w:rPr>
          <w:rFonts w:hint="eastAsia" w:ascii="仿宋_GB2312" w:eastAsia="仿宋_GB2312"/>
          <w:bCs/>
          <w:sz w:val="32"/>
          <w:szCs w:val="32"/>
        </w:rPr>
        <w:t>依托便民服务中心、新城图书馆作为公共服务核心。</w:t>
      </w:r>
    </w:p>
    <w:p w14:paraId="03DF5F97">
      <w:pPr>
        <w:ind w:firstLine="643" w:firstLineChars="200"/>
        <w:rPr>
          <w:rFonts w:ascii="仿宋_GB2312" w:eastAsia="仿宋_GB2312"/>
          <w:bCs/>
          <w:sz w:val="32"/>
          <w:szCs w:val="32"/>
        </w:rPr>
      </w:pPr>
      <w:r>
        <w:rPr>
          <w:rFonts w:hint="eastAsia" w:ascii="仿宋_GB2312" w:eastAsia="仿宋_GB2312"/>
          <w:b/>
          <w:bCs/>
          <w:sz w:val="32"/>
          <w:szCs w:val="32"/>
        </w:rPr>
        <w:t>“一轴”：中央景观轴。</w:t>
      </w:r>
      <w:r>
        <w:rPr>
          <w:rFonts w:hint="eastAsia" w:ascii="仿宋_GB2312" w:eastAsia="仿宋_GB2312"/>
          <w:bCs/>
          <w:sz w:val="32"/>
          <w:szCs w:val="32"/>
        </w:rPr>
        <w:t>作为南北贯穿规划区的绿色开敞空间，结合青年公园建设，形成视野通透、见山望水的景观廊道。</w:t>
      </w:r>
    </w:p>
    <w:p w14:paraId="113B42F6">
      <w:pPr>
        <w:ind w:firstLine="643" w:firstLineChars="200"/>
        <w:rPr>
          <w:rFonts w:ascii="仿宋_GB2312" w:eastAsia="仿宋_GB2312"/>
          <w:b/>
          <w:bCs/>
          <w:sz w:val="32"/>
          <w:szCs w:val="32"/>
        </w:rPr>
      </w:pPr>
      <w:r>
        <w:rPr>
          <w:rFonts w:hint="eastAsia" w:ascii="仿宋_GB2312" w:eastAsia="仿宋_GB2312"/>
          <w:b/>
          <w:bCs/>
          <w:sz w:val="32"/>
          <w:szCs w:val="32"/>
        </w:rPr>
        <w:t>“两片区”：生活休闲片区、综合服务片区。</w:t>
      </w:r>
    </w:p>
    <w:p w14:paraId="76AF0D2A">
      <w:pPr>
        <w:ind w:firstLine="640" w:firstLineChars="200"/>
        <w:rPr>
          <w:rFonts w:ascii="仿宋_GB2312" w:eastAsia="仿宋_GB2312"/>
          <w:bCs/>
          <w:sz w:val="32"/>
          <w:szCs w:val="32"/>
        </w:rPr>
      </w:pPr>
      <w:r>
        <w:rPr>
          <w:rFonts w:ascii="仿宋_GB2312" w:eastAsia="仿宋_GB2312"/>
          <w:bCs/>
          <w:sz w:val="32"/>
          <w:szCs w:val="32"/>
        </w:rPr>
        <w:t>——</w:t>
      </w:r>
      <w:r>
        <w:rPr>
          <w:rFonts w:hint="eastAsia" w:ascii="仿宋_GB2312" w:eastAsia="仿宋_GB2312"/>
          <w:bCs/>
          <w:sz w:val="32"/>
          <w:szCs w:val="32"/>
        </w:rPr>
        <w:t>生活休闲片区：围绕市民多功能健身中心打造市民健身及休闲集聚场所；</w:t>
      </w:r>
    </w:p>
    <w:p w14:paraId="32894471">
      <w:pPr>
        <w:ind w:firstLine="640" w:firstLineChars="200"/>
        <w:rPr>
          <w:rFonts w:ascii="仿宋_GB2312" w:eastAsia="仿宋_GB2312"/>
          <w:bCs/>
          <w:sz w:val="32"/>
          <w:szCs w:val="32"/>
        </w:rPr>
      </w:pPr>
      <w:r>
        <w:rPr>
          <w:rFonts w:ascii="仿宋_GB2312" w:eastAsia="仿宋_GB2312"/>
          <w:bCs/>
          <w:sz w:val="32"/>
          <w:szCs w:val="32"/>
        </w:rPr>
        <w:t>——</w:t>
      </w:r>
      <w:r>
        <w:rPr>
          <w:rFonts w:hint="eastAsia" w:ascii="仿宋_GB2312" w:eastAsia="仿宋_GB2312"/>
          <w:bCs/>
          <w:sz w:val="32"/>
          <w:szCs w:val="32"/>
        </w:rPr>
        <w:t>综合服务片区：结合公共服务设施的完善，进一步提升城市综合服务水平。</w:t>
      </w:r>
    </w:p>
    <w:p w14:paraId="31F7B80F">
      <w:pPr>
        <w:ind w:firstLine="643" w:firstLineChars="200"/>
        <w:rPr>
          <w:rFonts w:ascii="仿宋_GB2312" w:eastAsia="仿宋_GB2312"/>
          <w:b/>
          <w:sz w:val="32"/>
          <w:szCs w:val="32"/>
        </w:rPr>
      </w:pPr>
      <w:r>
        <w:rPr>
          <w:rFonts w:ascii="仿宋_GB2312" w:eastAsia="仿宋_GB2312"/>
          <w:b/>
          <w:sz w:val="32"/>
          <w:szCs w:val="32"/>
        </w:rPr>
        <w:t>6</w:t>
      </w:r>
      <w:r>
        <w:rPr>
          <w:rFonts w:hint="eastAsia" w:ascii="仿宋_GB2312" w:eastAsia="仿宋_GB2312"/>
          <w:b/>
          <w:sz w:val="32"/>
          <w:szCs w:val="32"/>
        </w:rPr>
        <w:t>、道路交通规划</w:t>
      </w:r>
    </w:p>
    <w:p w14:paraId="6BFFA9D6">
      <w:pPr>
        <w:ind w:firstLine="640" w:firstLineChars="200"/>
        <w:rPr>
          <w:rFonts w:ascii="仿宋_GB2312" w:eastAsia="仿宋_GB2312"/>
          <w:sz w:val="32"/>
          <w:szCs w:val="32"/>
        </w:rPr>
      </w:pPr>
      <w:r>
        <w:rPr>
          <w:rFonts w:hint="eastAsia" w:ascii="仿宋_GB2312" w:eastAsia="仿宋_GB2312"/>
          <w:sz w:val="32"/>
          <w:szCs w:val="32"/>
        </w:rPr>
        <w:t>规划形成主干路为骨架，次干路、支路为补充，功能明晰、等级合理的道路系统。</w:t>
      </w:r>
    </w:p>
    <w:p w14:paraId="2121ADC1">
      <w:pPr>
        <w:rPr>
          <w:rFonts w:ascii="仿宋_GB2312" w:eastAsia="仿宋_GB2312"/>
          <w:b/>
          <w:sz w:val="32"/>
          <w:szCs w:val="32"/>
        </w:rPr>
      </w:pPr>
      <w:r>
        <w:rPr>
          <w:rFonts w:hint="eastAsia" w:ascii="仿宋_GB2312" w:eastAsia="仿宋_GB2312"/>
          <w:b/>
          <w:sz w:val="32"/>
          <w:szCs w:val="32"/>
        </w:rPr>
        <w:t>二、规划图纸</w:t>
      </w:r>
    </w:p>
    <w:p w14:paraId="24137B10">
      <w:pPr>
        <w:rPr>
          <w:rFonts w:ascii="仿宋_GB2312" w:eastAsia="仿宋_GB2312"/>
          <w:b/>
          <w:sz w:val="32"/>
          <w:szCs w:val="32"/>
        </w:rPr>
      </w:pPr>
      <w:r>
        <w:rPr>
          <w:rFonts w:ascii="仿宋_GB2312" w:eastAsia="仿宋_GB2312"/>
          <w:b/>
          <w:sz w:val="32"/>
          <w:szCs w:val="32"/>
        </w:rPr>
        <w:br w:type="page"/>
      </w:r>
    </w:p>
    <w:p w14:paraId="1A64E643">
      <w:pPr>
        <w:rPr>
          <w:rFonts w:ascii="仿宋_GB2312" w:eastAsia="仿宋_GB2312"/>
          <w:b/>
          <w:sz w:val="32"/>
          <w:szCs w:val="32"/>
        </w:rPr>
      </w:pPr>
      <w:r>
        <w:rPr>
          <w:rFonts w:hint="eastAsia" w:ascii="仿宋_GB2312" w:eastAsia="仿宋_GB2312"/>
          <w:b/>
          <w:sz w:val="32"/>
          <w:szCs w:val="32"/>
        </w:rPr>
        <w:t>1、区位分析图</w:t>
      </w:r>
    </w:p>
    <w:p w14:paraId="573354B1">
      <w:pPr>
        <w:rPr>
          <w:rFonts w:ascii="仿宋_GB2312" w:eastAsia="仿宋_GB2312"/>
          <w:sz w:val="36"/>
          <w:szCs w:val="32"/>
        </w:rPr>
      </w:pPr>
      <w:r>
        <w:rPr>
          <w:rFonts w:ascii="仿宋_GB2312" w:eastAsia="仿宋_GB2312"/>
          <w:sz w:val="36"/>
          <w:szCs w:val="32"/>
        </w:rPr>
        <w:drawing>
          <wp:inline distT="0" distB="0" distL="0" distR="0">
            <wp:extent cx="5257800" cy="3716655"/>
            <wp:effectExtent l="0" t="0" r="0" b="0"/>
            <wp:docPr id="2" name="图片 2" descr="K:\内网缓存\林锦涛\公示图纸(1)\01区位分析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内网缓存\林锦涛\公示图纸(1)\01区位分析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57800" cy="3716655"/>
                    </a:xfrm>
                    <a:prstGeom prst="rect">
                      <a:avLst/>
                    </a:prstGeom>
                    <a:noFill/>
                    <a:ln>
                      <a:noFill/>
                    </a:ln>
                  </pic:spPr>
                </pic:pic>
              </a:graphicData>
            </a:graphic>
          </wp:inline>
        </w:drawing>
      </w:r>
    </w:p>
    <w:p w14:paraId="260FE53E">
      <w:pPr>
        <w:rPr>
          <w:rFonts w:ascii="仿宋_GB2312" w:eastAsia="仿宋_GB2312"/>
          <w:b/>
          <w:sz w:val="32"/>
          <w:szCs w:val="32"/>
        </w:rPr>
      </w:pPr>
      <w:r>
        <w:rPr>
          <w:rFonts w:hint="eastAsia" w:ascii="仿宋_GB2312" w:eastAsia="仿宋_GB2312"/>
          <w:b/>
          <w:sz w:val="32"/>
          <w:szCs w:val="32"/>
        </w:rPr>
        <w:t>2、规划结构图</w:t>
      </w:r>
    </w:p>
    <w:p w14:paraId="4ADA4627">
      <w:pPr>
        <w:spacing w:line="540" w:lineRule="auto"/>
        <w:rPr>
          <w:rFonts w:ascii="仿宋_GB2312" w:eastAsia="仿宋_GB2312"/>
          <w:sz w:val="36"/>
          <w:szCs w:val="32"/>
        </w:rPr>
      </w:pPr>
      <w:r>
        <w:rPr>
          <w:rFonts w:ascii="仿宋_GB2312" w:eastAsia="仿宋_GB2312"/>
          <w:sz w:val="36"/>
          <w:szCs w:val="32"/>
        </w:rPr>
        <w:drawing>
          <wp:inline distT="0" distB="0" distL="0" distR="0">
            <wp:extent cx="5259705" cy="3719830"/>
            <wp:effectExtent l="0" t="0" r="0" b="0"/>
            <wp:docPr id="3" name="图片 3" descr="K:\内网缓存\林锦涛\公示图纸(1)\04规划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内网缓存\林锦涛\公示图纸(1)\04规划结构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59705" cy="3719830"/>
                    </a:xfrm>
                    <a:prstGeom prst="rect">
                      <a:avLst/>
                    </a:prstGeom>
                    <a:noFill/>
                    <a:ln>
                      <a:noFill/>
                    </a:ln>
                  </pic:spPr>
                </pic:pic>
              </a:graphicData>
            </a:graphic>
          </wp:inline>
        </w:drawing>
      </w:r>
    </w:p>
    <w:p w14:paraId="32C21CB6">
      <w:pPr>
        <w:rPr>
          <w:rFonts w:ascii="仿宋_GB2312" w:eastAsia="仿宋_GB2312"/>
          <w:b/>
          <w:sz w:val="32"/>
          <w:szCs w:val="32"/>
        </w:rPr>
      </w:pPr>
      <w:r>
        <w:rPr>
          <w:rFonts w:hint="eastAsia" w:ascii="仿宋_GB2312" w:eastAsia="仿宋_GB2312"/>
          <w:b/>
          <w:sz w:val="32"/>
          <w:szCs w:val="32"/>
        </w:rPr>
        <w:t>3、用地布局图</w:t>
      </w:r>
    </w:p>
    <w:p w14:paraId="394C3A18">
      <w:pPr>
        <w:spacing w:line="540" w:lineRule="auto"/>
        <w:rPr>
          <w:rFonts w:ascii="仿宋_GB2312" w:eastAsia="仿宋_GB2312"/>
          <w:sz w:val="36"/>
          <w:szCs w:val="32"/>
        </w:rPr>
      </w:pPr>
      <w:r>
        <w:rPr>
          <w:rFonts w:ascii="仿宋_GB2312" w:eastAsia="仿宋_GB2312"/>
          <w:sz w:val="36"/>
          <w:szCs w:val="32"/>
        </w:rPr>
        <w:drawing>
          <wp:inline distT="0" distB="0" distL="0" distR="0">
            <wp:extent cx="5259705" cy="3719830"/>
            <wp:effectExtent l="0" t="0" r="0" b="0"/>
            <wp:docPr id="4" name="图片 4" descr="K:\内网缓存\林锦涛\公示图纸(1)\05用地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K:\内网缓存\林锦涛\公示图纸(1)\05用地布局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59705" cy="3719830"/>
                    </a:xfrm>
                    <a:prstGeom prst="rect">
                      <a:avLst/>
                    </a:prstGeom>
                    <a:noFill/>
                    <a:ln>
                      <a:noFill/>
                    </a:ln>
                  </pic:spPr>
                </pic:pic>
              </a:graphicData>
            </a:graphic>
          </wp:inline>
        </w:drawing>
      </w:r>
    </w:p>
    <w:p w14:paraId="580BB2F4">
      <w:pPr>
        <w:rPr>
          <w:rFonts w:ascii="仿宋_GB2312" w:eastAsia="仿宋_GB2312"/>
          <w:b/>
          <w:sz w:val="32"/>
          <w:szCs w:val="32"/>
        </w:rPr>
      </w:pPr>
      <w:r>
        <w:rPr>
          <w:rFonts w:ascii="仿宋_GB2312" w:eastAsia="仿宋_GB2312"/>
          <w:b/>
          <w:sz w:val="32"/>
          <w:szCs w:val="32"/>
        </w:rPr>
        <w:t>4</w:t>
      </w:r>
      <w:r>
        <w:rPr>
          <w:rFonts w:hint="eastAsia" w:ascii="仿宋_GB2312" w:eastAsia="仿宋_GB2312"/>
          <w:b/>
          <w:sz w:val="32"/>
          <w:szCs w:val="32"/>
        </w:rPr>
        <w:t>、道路系统规划图</w:t>
      </w:r>
    </w:p>
    <w:p w14:paraId="550B84F7">
      <w:pPr>
        <w:spacing w:line="540" w:lineRule="auto"/>
        <w:rPr>
          <w:rFonts w:ascii="仿宋_GB2312" w:eastAsia="仿宋_GB2312"/>
          <w:sz w:val="36"/>
          <w:szCs w:val="32"/>
        </w:rPr>
      </w:pPr>
      <w:r>
        <w:rPr>
          <w:rFonts w:ascii="仿宋_GB2312" w:eastAsia="仿宋_GB2312"/>
          <w:sz w:val="36"/>
          <w:szCs w:val="32"/>
        </w:rPr>
        <w:drawing>
          <wp:inline distT="0" distB="0" distL="0" distR="0">
            <wp:extent cx="5259705" cy="3719830"/>
            <wp:effectExtent l="0" t="0" r="0" b="0"/>
            <wp:docPr id="5" name="图片 5" descr="K:\内网缓存\林锦涛\公示图纸(1)\07道路交通系统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K:\内网缓存\林锦涛\公示图纸(1)\07道路交通系统规划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59705" cy="3719830"/>
                    </a:xfrm>
                    <a:prstGeom prst="rect">
                      <a:avLst/>
                    </a:prstGeom>
                    <a:noFill/>
                    <a:ln>
                      <a:noFill/>
                    </a:ln>
                  </pic:spPr>
                </pic:pic>
              </a:graphicData>
            </a:graphic>
          </wp:inline>
        </w:drawing>
      </w:r>
      <w:bookmarkStart w:id="0" w:name="_GoBack"/>
      <w:bookmarkEnd w:id="0"/>
    </w:p>
    <w:sectPr>
      <w:footerReference r:id="rId3" w:type="default"/>
      <w:footerReference r:id="rId4" w:type="even"/>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8DAA0">
    <w:pPr>
      <w:pStyle w:val="4"/>
      <w:framePr w:w="1099" w:wrap="around" w:vAnchor="text" w:hAnchor="page" w:x="8998" w:y="-2"/>
      <w:jc w:val="both"/>
      <w:rPr>
        <w:rStyle w:val="9"/>
        <w:rFonts w:ascii="宋体" w:hAnsi="宋体"/>
        <w:sz w:val="28"/>
        <w:szCs w:val="28"/>
      </w:rPr>
    </w:pPr>
    <w:r>
      <w:rPr>
        <w:rStyle w:val="9"/>
        <w:rFonts w:hint="eastAsia" w:ascii="宋体" w:hAnsi="宋体"/>
        <w:sz w:val="28"/>
        <w:szCs w:val="28"/>
      </w:rPr>
      <w:fldChar w:fldCharType="begin"/>
    </w:r>
    <w:r>
      <w:rPr>
        <w:rStyle w:val="9"/>
        <w:rFonts w:hint="eastAsia" w:ascii="宋体" w:hAnsi="宋体"/>
        <w:sz w:val="28"/>
        <w:szCs w:val="28"/>
      </w:rPr>
      <w:instrText xml:space="preserve">PAGE  </w:instrText>
    </w:r>
    <w:r>
      <w:rPr>
        <w:rStyle w:val="9"/>
        <w:rFonts w:hint="eastAsia" w:ascii="宋体" w:hAnsi="宋体"/>
        <w:sz w:val="28"/>
        <w:szCs w:val="28"/>
      </w:rPr>
      <w:fldChar w:fldCharType="separate"/>
    </w:r>
    <w:r>
      <w:rPr>
        <w:rStyle w:val="9"/>
        <w:rFonts w:ascii="宋体" w:hAnsi="宋体"/>
        <w:sz w:val="28"/>
        <w:szCs w:val="28"/>
      </w:rPr>
      <w:t>- 1 -</w:t>
    </w:r>
    <w:r>
      <w:rPr>
        <w:rStyle w:val="9"/>
        <w:rFonts w:hint="eastAsia" w:ascii="宋体" w:hAnsi="宋体"/>
        <w:sz w:val="28"/>
        <w:szCs w:val="28"/>
      </w:rPr>
      <w:fldChar w:fldCharType="end"/>
    </w:r>
    <w:r>
      <w:rPr>
        <w:rStyle w:val="9"/>
        <w:rFonts w:hint="eastAsia" w:ascii="宋体" w:hAnsi="宋体"/>
        <w:sz w:val="28"/>
        <w:szCs w:val="28"/>
      </w:rPr>
      <w:t xml:space="preserve">       </w:t>
    </w:r>
  </w:p>
  <w:p w14:paraId="2FF8036B">
    <w:pPr>
      <w:pStyle w:val="4"/>
      <w:ind w:right="360" w:firstLine="360"/>
      <w:rPr>
        <w:rFonts w:ascii="仿宋_GB2312" w:eastAsia="仿宋_GB2312"/>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0D621">
    <w:pPr>
      <w:pStyle w:val="4"/>
      <w:framePr w:wrap="around" w:vAnchor="text" w:hAnchor="margin" w:xAlign="outside" w:y="1"/>
      <w:ind w:firstLine="280"/>
      <w:rPr>
        <w:rStyle w:val="9"/>
        <w:rFonts w:ascii="宋体" w:hAnsi="宋体"/>
        <w:sz w:val="28"/>
        <w:szCs w:val="28"/>
      </w:rPr>
    </w:pPr>
    <w:r>
      <w:rPr>
        <w:rStyle w:val="9"/>
        <w:rFonts w:ascii="宋体" w:hAnsi="宋体"/>
        <w:sz w:val="28"/>
        <w:szCs w:val="28"/>
      </w:rPr>
      <w:fldChar w:fldCharType="begin"/>
    </w:r>
    <w:r>
      <w:rPr>
        <w:rStyle w:val="9"/>
        <w:rFonts w:ascii="宋体" w:hAnsi="宋体"/>
        <w:sz w:val="28"/>
        <w:szCs w:val="28"/>
      </w:rPr>
      <w:instrText xml:space="preserve">PAGE  </w:instrText>
    </w:r>
    <w:r>
      <w:rPr>
        <w:rStyle w:val="9"/>
        <w:rFonts w:ascii="宋体" w:hAnsi="宋体"/>
        <w:sz w:val="28"/>
        <w:szCs w:val="28"/>
      </w:rPr>
      <w:fldChar w:fldCharType="separate"/>
    </w:r>
    <w:r>
      <w:rPr>
        <w:rStyle w:val="9"/>
        <w:rFonts w:ascii="宋体" w:hAnsi="宋体"/>
        <w:sz w:val="28"/>
        <w:szCs w:val="28"/>
      </w:rPr>
      <w:t>- 4 -</w:t>
    </w:r>
    <w:r>
      <w:rPr>
        <w:rStyle w:val="9"/>
        <w:rFonts w:ascii="宋体" w:hAnsi="宋体"/>
        <w:sz w:val="28"/>
        <w:szCs w:val="28"/>
      </w:rPr>
      <w:fldChar w:fldCharType="end"/>
    </w:r>
  </w:p>
  <w:p w14:paraId="17339CA3">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E3F"/>
    <w:rsid w:val="000034BC"/>
    <w:rsid w:val="00065225"/>
    <w:rsid w:val="00073B6C"/>
    <w:rsid w:val="00095961"/>
    <w:rsid w:val="001174D9"/>
    <w:rsid w:val="00136BA3"/>
    <w:rsid w:val="00145290"/>
    <w:rsid w:val="001D1C56"/>
    <w:rsid w:val="001F0F90"/>
    <w:rsid w:val="002255E4"/>
    <w:rsid w:val="002329EF"/>
    <w:rsid w:val="00295BBB"/>
    <w:rsid w:val="0029627B"/>
    <w:rsid w:val="002A7811"/>
    <w:rsid w:val="002D4055"/>
    <w:rsid w:val="003237D1"/>
    <w:rsid w:val="003270AF"/>
    <w:rsid w:val="00372238"/>
    <w:rsid w:val="00377466"/>
    <w:rsid w:val="00391BC1"/>
    <w:rsid w:val="003D32E4"/>
    <w:rsid w:val="003F265F"/>
    <w:rsid w:val="003F46B2"/>
    <w:rsid w:val="0049353C"/>
    <w:rsid w:val="004D28D1"/>
    <w:rsid w:val="004F1659"/>
    <w:rsid w:val="00535CE7"/>
    <w:rsid w:val="00583C5D"/>
    <w:rsid w:val="005C0304"/>
    <w:rsid w:val="005D04F1"/>
    <w:rsid w:val="005D1F35"/>
    <w:rsid w:val="005D470B"/>
    <w:rsid w:val="00626E3B"/>
    <w:rsid w:val="0064537D"/>
    <w:rsid w:val="00655B8D"/>
    <w:rsid w:val="00662CE2"/>
    <w:rsid w:val="006934B5"/>
    <w:rsid w:val="006B1EFC"/>
    <w:rsid w:val="006B2B89"/>
    <w:rsid w:val="007608A2"/>
    <w:rsid w:val="00771A40"/>
    <w:rsid w:val="0078012D"/>
    <w:rsid w:val="00787316"/>
    <w:rsid w:val="007A3414"/>
    <w:rsid w:val="007C7CCF"/>
    <w:rsid w:val="00821368"/>
    <w:rsid w:val="00824842"/>
    <w:rsid w:val="00850ADF"/>
    <w:rsid w:val="00864A59"/>
    <w:rsid w:val="00884FF3"/>
    <w:rsid w:val="00926CA7"/>
    <w:rsid w:val="0094601D"/>
    <w:rsid w:val="00964AD6"/>
    <w:rsid w:val="00997AF3"/>
    <w:rsid w:val="009A71DB"/>
    <w:rsid w:val="009F3FB4"/>
    <w:rsid w:val="00A33B0F"/>
    <w:rsid w:val="00A37461"/>
    <w:rsid w:val="00A509C9"/>
    <w:rsid w:val="00AA6FD0"/>
    <w:rsid w:val="00AB026F"/>
    <w:rsid w:val="00AC561B"/>
    <w:rsid w:val="00AD26B0"/>
    <w:rsid w:val="00AE246C"/>
    <w:rsid w:val="00B04126"/>
    <w:rsid w:val="00B151F1"/>
    <w:rsid w:val="00B76C85"/>
    <w:rsid w:val="00B927E5"/>
    <w:rsid w:val="00BA5242"/>
    <w:rsid w:val="00BC2AC7"/>
    <w:rsid w:val="00C23C1C"/>
    <w:rsid w:val="00C803CE"/>
    <w:rsid w:val="00CD7E3F"/>
    <w:rsid w:val="00D57799"/>
    <w:rsid w:val="00D71994"/>
    <w:rsid w:val="00D86481"/>
    <w:rsid w:val="00DA56AF"/>
    <w:rsid w:val="00DB77B1"/>
    <w:rsid w:val="00E1018E"/>
    <w:rsid w:val="00E13ECA"/>
    <w:rsid w:val="00E314CD"/>
    <w:rsid w:val="00E429E2"/>
    <w:rsid w:val="00E67029"/>
    <w:rsid w:val="00E72335"/>
    <w:rsid w:val="00E83C0D"/>
    <w:rsid w:val="00E84063"/>
    <w:rsid w:val="00E85898"/>
    <w:rsid w:val="00E90C99"/>
    <w:rsid w:val="00EE48BA"/>
    <w:rsid w:val="00EE6185"/>
    <w:rsid w:val="00F75154"/>
    <w:rsid w:val="00F9663B"/>
    <w:rsid w:val="00FA1A32"/>
    <w:rsid w:val="00FD5961"/>
    <w:rsid w:val="0CBF3C76"/>
    <w:rsid w:val="3A557466"/>
    <w:rsid w:val="461313D5"/>
    <w:rsid w:val="6EDD3029"/>
    <w:rsid w:val="730D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qFormat/>
    <w:uiPriority w:val="0"/>
    <w:pPr>
      <w:ind w:left="100"/>
    </w:p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0"/>
    <w:qFormat/>
    <w:uiPriority w:val="0"/>
    <w:pPr>
      <w:widowControl/>
      <w:spacing w:before="100" w:beforeAutospacing="1" w:after="100" w:afterAutospacing="1"/>
      <w:jc w:val="left"/>
    </w:pPr>
    <w:rPr>
      <w:rFonts w:ascii="宋体" w:hAnsi="宋体" w:cs="宋体"/>
      <w:kern w:val="0"/>
      <w:sz w:val="24"/>
    </w:rPr>
  </w:style>
  <w:style w:type="character" w:styleId="9">
    <w:name w:val="page number"/>
    <w:basedOn w:val="8"/>
    <w:qFormat/>
    <w:uiPriority w:val="0"/>
  </w:style>
  <w:style w:type="character" w:customStyle="1" w:styleId="10">
    <w:name w:val="普通(网站) 字符"/>
    <w:link w:val="6"/>
    <w:qFormat/>
    <w:uiPriority w:val="0"/>
    <w:rPr>
      <w:rFonts w:ascii="宋体" w:hAnsi="宋体" w:eastAsia="宋体" w:cs="宋体"/>
      <w:sz w:val="24"/>
      <w:szCs w:val="24"/>
      <w:lang w:val="en-US" w:eastAsia="zh-CN" w:bidi="ar-SA"/>
    </w:rPr>
  </w:style>
  <w:style w:type="character" w:customStyle="1" w:styleId="11">
    <w:name w:val="批注框文本 字符"/>
    <w:basedOn w:val="8"/>
    <w:link w:val="3"/>
    <w:qFormat/>
    <w:uiPriority w:val="0"/>
    <w:rPr>
      <w:kern w:val="2"/>
      <w:sz w:val="18"/>
      <w:szCs w:val="18"/>
    </w:rPr>
  </w:style>
  <w:style w:type="paragraph" w:styleId="12">
    <w:name w:val="List Paragraph"/>
    <w:basedOn w:val="1"/>
    <w:qFormat/>
    <w:uiPriority w:val="34"/>
    <w:pPr>
      <w:widowControl/>
      <w:ind w:firstLine="420" w:firstLineChars="20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503</Words>
  <Characters>516</Characters>
  <Lines>3</Lines>
  <Paragraphs>1</Paragraphs>
  <TotalTime>6</TotalTime>
  <ScaleCrop>false</ScaleCrop>
  <LinksUpToDate>false</LinksUpToDate>
  <CharactersWithSpaces>516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2025-01-03T02:33:00Z</dcterms:created>
  <dc:creator>User</dc:creator>
  <cp:lastModifiedBy>GH</cp:lastModifiedBy>
  <cp:lastPrinted>2018-11-14T01:23:00Z</cp:lastPrinted>
  <dcterms:modified xsi:type="dcterms:W3CDTF">2025-01-09T00:37:02Z</dcterms:modified>
  <dc:title>融规 [2012] 253号                  签发人：郑卫东</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E57E69D03C284ABCB2C40F8E1E0AE7CB</vt:lpwstr>
  </property>
  <property fmtid="{D5CDD505-2E9C-101B-9397-08002B2CF9AE}" pid="4" name="KSOTemplateDocerSaveRecord">
    <vt:lpwstr>eyJoZGlkIjoiNzQ0Mjk0NThmZDNjMjQ2YjlhMzE3Njk0MGY0ODFmNjQiLCJ1c2VySWQiOiIzMzY3NjI0NzYifQ==</vt:lpwstr>
  </property>
</Properties>
</file>