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C1C" w:rsidRDefault="0078012D">
      <w:pPr>
        <w:spacing w:line="540" w:lineRule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</w:t>
      </w:r>
    </w:p>
    <w:p w:rsidR="00197E90" w:rsidRDefault="00197E90" w:rsidP="00197E90">
      <w:pPr>
        <w:spacing w:line="540" w:lineRule="auto"/>
        <w:jc w:val="center"/>
        <w:rPr>
          <w:rFonts w:ascii="仿宋_GB2312" w:eastAsia="仿宋_GB2312"/>
          <w:sz w:val="36"/>
          <w:szCs w:val="32"/>
        </w:rPr>
      </w:pPr>
      <w:r>
        <w:rPr>
          <w:rFonts w:ascii="仿宋_GB2312" w:eastAsia="仿宋_GB2312" w:hint="eastAsia"/>
          <w:sz w:val="36"/>
          <w:szCs w:val="32"/>
        </w:rPr>
        <w:t>闽台（福州）蓝色经济产业园一期控制性详细规划</w:t>
      </w:r>
    </w:p>
    <w:p w:rsidR="0078012D" w:rsidRDefault="0078012D" w:rsidP="00197E90">
      <w:pPr>
        <w:spacing w:line="540" w:lineRule="auto"/>
        <w:jc w:val="center"/>
        <w:rPr>
          <w:rFonts w:ascii="仿宋_GB2312" w:eastAsia="仿宋_GB2312"/>
          <w:sz w:val="36"/>
          <w:szCs w:val="32"/>
        </w:rPr>
      </w:pPr>
      <w:r w:rsidRPr="0078012D">
        <w:rPr>
          <w:rFonts w:ascii="仿宋_GB2312" w:eastAsia="仿宋_GB2312" w:hint="eastAsia"/>
          <w:sz w:val="36"/>
          <w:szCs w:val="32"/>
        </w:rPr>
        <w:t>主要内容及规划图纸</w:t>
      </w:r>
    </w:p>
    <w:p w:rsidR="0078012D" w:rsidRDefault="0078012D" w:rsidP="0078012D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一、主要内容</w:t>
      </w:r>
    </w:p>
    <w:p w:rsidR="0078012D" w:rsidRPr="0078012D" w:rsidRDefault="0078012D" w:rsidP="0078012D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1、</w:t>
      </w:r>
      <w:r w:rsidRPr="0078012D">
        <w:rPr>
          <w:rFonts w:ascii="仿宋_GB2312" w:eastAsia="仿宋_GB2312" w:hint="eastAsia"/>
          <w:b/>
          <w:sz w:val="32"/>
          <w:szCs w:val="32"/>
        </w:rPr>
        <w:t>区位及规划范围</w:t>
      </w:r>
    </w:p>
    <w:p w:rsidR="0044715A" w:rsidRPr="0044715A" w:rsidRDefault="0044715A" w:rsidP="0044715A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44715A">
        <w:rPr>
          <w:rFonts w:ascii="仿宋_GB2312" w:eastAsia="仿宋_GB2312" w:hint="eastAsia"/>
          <w:sz w:val="32"/>
          <w:szCs w:val="32"/>
        </w:rPr>
        <w:t>闽台（福州）蓝色经济产业园位于福清市东南部、兴化湾北岸，距离福州市区69公里，福州长乐机场71公里，平潭综合实验区25公里，福建自贸区福州保税港区和福州新港江阴港区8公里，交通优势显著，且具有临海和</w:t>
      </w:r>
      <w:proofErr w:type="gramStart"/>
      <w:r w:rsidRPr="0044715A">
        <w:rPr>
          <w:rFonts w:ascii="仿宋_GB2312" w:eastAsia="仿宋_GB2312" w:hint="eastAsia"/>
          <w:sz w:val="32"/>
          <w:szCs w:val="32"/>
        </w:rPr>
        <w:t>邻台近港独特</w:t>
      </w:r>
      <w:proofErr w:type="gramEnd"/>
      <w:r w:rsidRPr="0044715A">
        <w:rPr>
          <w:rFonts w:ascii="仿宋_GB2312" w:eastAsia="仿宋_GB2312" w:hint="eastAsia"/>
          <w:sz w:val="32"/>
          <w:szCs w:val="32"/>
        </w:rPr>
        <w:t>的区位优势。</w:t>
      </w:r>
    </w:p>
    <w:p w:rsidR="0078012D" w:rsidRPr="00E314CD" w:rsidRDefault="0044715A" w:rsidP="0044715A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规划范围：</w:t>
      </w:r>
      <w:r w:rsidRPr="0044715A">
        <w:rPr>
          <w:rFonts w:ascii="仿宋_GB2312" w:eastAsia="仿宋_GB2312" w:hint="eastAsia"/>
          <w:sz w:val="32"/>
          <w:szCs w:val="32"/>
        </w:rPr>
        <w:t>本次控</w:t>
      </w:r>
      <w:proofErr w:type="gramStart"/>
      <w:r w:rsidRPr="0044715A">
        <w:rPr>
          <w:rFonts w:ascii="仿宋_GB2312" w:eastAsia="仿宋_GB2312" w:hint="eastAsia"/>
          <w:sz w:val="32"/>
          <w:szCs w:val="32"/>
        </w:rPr>
        <w:t>规</w:t>
      </w:r>
      <w:proofErr w:type="gramEnd"/>
      <w:r w:rsidRPr="0044715A">
        <w:rPr>
          <w:rFonts w:ascii="仿宋_GB2312" w:eastAsia="仿宋_GB2312" w:hint="eastAsia"/>
          <w:sz w:val="32"/>
          <w:szCs w:val="32"/>
        </w:rPr>
        <w:t>位于闽台（福州）蓝色经济产业园中部，北至江华大道，西至蓝色大道，南至滨海大通道，东至海洋大道，规划总用地面积679.23公顷。</w:t>
      </w:r>
    </w:p>
    <w:p w:rsidR="0078012D" w:rsidRPr="006B1EFC" w:rsidRDefault="0078012D" w:rsidP="0078012D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6B1EFC">
        <w:rPr>
          <w:rFonts w:ascii="仿宋_GB2312" w:eastAsia="仿宋_GB2312"/>
          <w:b/>
          <w:sz w:val="32"/>
          <w:szCs w:val="32"/>
        </w:rPr>
        <w:t>2</w:t>
      </w:r>
      <w:r w:rsidRPr="006B1EFC">
        <w:rPr>
          <w:rFonts w:ascii="仿宋_GB2312" w:eastAsia="仿宋_GB2312" w:hint="eastAsia"/>
          <w:b/>
          <w:sz w:val="32"/>
          <w:szCs w:val="32"/>
        </w:rPr>
        <w:t>、功能定位</w:t>
      </w:r>
    </w:p>
    <w:p w:rsidR="0044715A" w:rsidRDefault="0044715A" w:rsidP="0044715A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44715A">
        <w:rPr>
          <w:rFonts w:ascii="仿宋_GB2312" w:eastAsia="仿宋_GB2312"/>
          <w:sz w:val="32"/>
          <w:szCs w:val="32"/>
        </w:rPr>
        <w:t>承接《福清市国土空间总体规划（2020-2035年）》，结合《福清市国民经济和社会发展第十四个五年规划和二</w:t>
      </w:r>
      <w:r w:rsidRPr="0044715A">
        <w:rPr>
          <w:rFonts w:ascii="微软雅黑" w:eastAsia="微软雅黑" w:hAnsi="微软雅黑" w:cs="微软雅黑" w:hint="eastAsia"/>
          <w:sz w:val="32"/>
          <w:szCs w:val="32"/>
        </w:rPr>
        <w:t>〇</w:t>
      </w:r>
      <w:r w:rsidRPr="0044715A">
        <w:rPr>
          <w:rFonts w:ascii="仿宋_GB2312" w:eastAsia="仿宋_GB2312" w:hAnsi="仿宋_GB2312" w:cs="仿宋_GB2312" w:hint="eastAsia"/>
          <w:sz w:val="32"/>
          <w:szCs w:val="32"/>
        </w:rPr>
        <w:t>三五年远景目标的建议》，全面落实高质量发展超越，将规划区打造为：</w:t>
      </w:r>
      <w:r w:rsidRPr="0044715A">
        <w:rPr>
          <w:rFonts w:ascii="仿宋_GB2312" w:eastAsia="仿宋_GB2312"/>
          <w:b/>
          <w:sz w:val="32"/>
          <w:szCs w:val="32"/>
        </w:rPr>
        <w:t>产业发展新引擎、绿色园区新样板、节约高效新典范。</w:t>
      </w:r>
    </w:p>
    <w:p w:rsidR="0078012D" w:rsidRPr="0044715A" w:rsidRDefault="0078012D" w:rsidP="0044715A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44715A">
        <w:rPr>
          <w:rFonts w:ascii="仿宋_GB2312" w:eastAsia="仿宋_GB2312"/>
          <w:b/>
          <w:sz w:val="32"/>
          <w:szCs w:val="32"/>
        </w:rPr>
        <w:t>3</w:t>
      </w:r>
      <w:r w:rsidRPr="0044715A">
        <w:rPr>
          <w:rFonts w:ascii="仿宋_GB2312" w:eastAsia="仿宋_GB2312" w:hint="eastAsia"/>
          <w:b/>
          <w:sz w:val="32"/>
          <w:szCs w:val="32"/>
        </w:rPr>
        <w:t>、发展规模</w:t>
      </w:r>
    </w:p>
    <w:p w:rsidR="0078012D" w:rsidRDefault="0078012D" w:rsidP="0078012D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BF7A60">
        <w:rPr>
          <w:rFonts w:ascii="仿宋_GB2312" w:eastAsia="仿宋_GB2312" w:hint="eastAsia"/>
          <w:sz w:val="32"/>
          <w:szCs w:val="32"/>
        </w:rPr>
        <w:t>规划</w:t>
      </w:r>
      <w:r w:rsidR="00166C6E">
        <w:rPr>
          <w:rFonts w:ascii="仿宋_GB2312" w:eastAsia="仿宋_GB2312" w:hint="eastAsia"/>
          <w:sz w:val="32"/>
          <w:szCs w:val="32"/>
        </w:rPr>
        <w:t>产业就业人口规模</w:t>
      </w:r>
      <w:bookmarkStart w:id="0" w:name="_GoBack"/>
      <w:bookmarkEnd w:id="0"/>
      <w:r w:rsidR="007E7805" w:rsidRPr="00BF7A60">
        <w:rPr>
          <w:rFonts w:ascii="仿宋_GB2312" w:eastAsia="仿宋_GB2312" w:hint="eastAsia"/>
          <w:sz w:val="32"/>
          <w:szCs w:val="32"/>
        </w:rPr>
        <w:t>4</w:t>
      </w:r>
      <w:r w:rsidR="007E7805" w:rsidRPr="00BF7A60">
        <w:rPr>
          <w:rFonts w:ascii="仿宋_GB2312" w:eastAsia="仿宋_GB2312"/>
          <w:sz w:val="32"/>
          <w:szCs w:val="32"/>
        </w:rPr>
        <w:t>.0</w:t>
      </w:r>
      <w:r w:rsidRPr="00BF7A60">
        <w:rPr>
          <w:rFonts w:ascii="仿宋_GB2312" w:eastAsia="仿宋_GB2312" w:hint="eastAsia"/>
          <w:sz w:val="32"/>
          <w:szCs w:val="32"/>
        </w:rPr>
        <w:t>万人</w:t>
      </w:r>
      <w:r>
        <w:rPr>
          <w:rFonts w:ascii="仿宋_GB2312" w:eastAsia="仿宋_GB2312" w:hint="eastAsia"/>
          <w:sz w:val="32"/>
          <w:szCs w:val="32"/>
        </w:rPr>
        <w:t>，规划</w:t>
      </w:r>
      <w:r w:rsidR="00F76B17">
        <w:rPr>
          <w:rFonts w:ascii="仿宋_GB2312" w:eastAsia="仿宋_GB2312" w:hint="eastAsia"/>
          <w:sz w:val="32"/>
          <w:szCs w:val="32"/>
        </w:rPr>
        <w:t>城乡</w:t>
      </w:r>
      <w:r>
        <w:rPr>
          <w:rFonts w:ascii="仿宋_GB2312" w:eastAsia="仿宋_GB2312" w:hint="eastAsia"/>
          <w:sz w:val="32"/>
          <w:szCs w:val="32"/>
        </w:rPr>
        <w:t>建设用地面积为</w:t>
      </w:r>
      <w:r w:rsidR="0044715A">
        <w:rPr>
          <w:rFonts w:ascii="仿宋_GB2312" w:eastAsia="仿宋_GB2312"/>
          <w:sz w:val="32"/>
          <w:szCs w:val="32"/>
        </w:rPr>
        <w:t>628.34</w:t>
      </w:r>
      <w:r>
        <w:rPr>
          <w:rFonts w:ascii="仿宋_GB2312" w:eastAsia="仿宋_GB2312" w:hint="eastAsia"/>
          <w:sz w:val="32"/>
          <w:szCs w:val="32"/>
        </w:rPr>
        <w:t>公顷。</w:t>
      </w:r>
    </w:p>
    <w:p w:rsidR="0078012D" w:rsidRPr="0078012D" w:rsidRDefault="0078012D" w:rsidP="0078012D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lastRenderedPageBreak/>
        <w:t>4</w:t>
      </w:r>
      <w:r w:rsidRPr="0078012D">
        <w:rPr>
          <w:rFonts w:ascii="仿宋_GB2312" w:eastAsia="仿宋_GB2312" w:hint="eastAsia"/>
          <w:b/>
          <w:sz w:val="32"/>
          <w:szCs w:val="32"/>
        </w:rPr>
        <w:t>、规划结构</w:t>
      </w:r>
    </w:p>
    <w:p w:rsidR="0044715A" w:rsidRPr="0044715A" w:rsidRDefault="0078012D" w:rsidP="0044715A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规划形成</w:t>
      </w:r>
      <w:r w:rsidR="00F76B17" w:rsidRPr="00F76B17">
        <w:rPr>
          <w:rFonts w:ascii="仿宋_GB2312" w:eastAsia="仿宋_GB2312"/>
          <w:b/>
          <w:sz w:val="32"/>
          <w:szCs w:val="32"/>
        </w:rPr>
        <w:t xml:space="preserve"> </w:t>
      </w:r>
      <w:r w:rsidR="00E429E2" w:rsidRPr="00F76B17">
        <w:rPr>
          <w:rFonts w:ascii="仿宋_GB2312" w:eastAsia="仿宋_GB2312"/>
          <w:b/>
          <w:sz w:val="32"/>
          <w:szCs w:val="32"/>
        </w:rPr>
        <w:t>“</w:t>
      </w:r>
      <w:r w:rsidR="0044715A" w:rsidRPr="00F76B17">
        <w:rPr>
          <w:rFonts w:ascii="仿宋_GB2312" w:eastAsia="仿宋_GB2312"/>
          <w:b/>
          <w:sz w:val="32"/>
          <w:szCs w:val="32"/>
        </w:rPr>
        <w:t>一带四轴三基地</w:t>
      </w:r>
      <w:r w:rsidR="00E429E2" w:rsidRPr="00F76B17">
        <w:rPr>
          <w:rFonts w:ascii="仿宋_GB2312" w:eastAsia="仿宋_GB2312"/>
          <w:b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的空间结构。</w:t>
      </w:r>
      <w:r w:rsidR="0044715A">
        <w:rPr>
          <w:rFonts w:ascii="仿宋_GB2312" w:eastAsia="仿宋_GB2312" w:hint="eastAsia"/>
          <w:sz w:val="32"/>
          <w:szCs w:val="32"/>
        </w:rPr>
        <w:t>其中，</w:t>
      </w:r>
      <w:r w:rsidR="0044715A" w:rsidRPr="00F76B17">
        <w:rPr>
          <w:rFonts w:ascii="仿宋_GB2312" w:eastAsia="仿宋_GB2312"/>
          <w:b/>
          <w:sz w:val="32"/>
          <w:szCs w:val="32"/>
        </w:rPr>
        <w:t>“</w:t>
      </w:r>
      <w:r w:rsidR="0044715A" w:rsidRPr="00F76B17">
        <w:rPr>
          <w:rFonts w:ascii="仿宋_GB2312" w:eastAsia="仿宋_GB2312"/>
          <w:b/>
          <w:sz w:val="32"/>
          <w:szCs w:val="32"/>
        </w:rPr>
        <w:t>一带</w:t>
      </w:r>
      <w:r w:rsidR="0044715A" w:rsidRPr="00F76B17">
        <w:rPr>
          <w:rFonts w:ascii="仿宋_GB2312" w:eastAsia="仿宋_GB2312"/>
          <w:b/>
          <w:sz w:val="32"/>
          <w:szCs w:val="32"/>
        </w:rPr>
        <w:t>”</w:t>
      </w:r>
      <w:r w:rsidR="0044715A" w:rsidRPr="0044715A">
        <w:rPr>
          <w:rFonts w:ascii="仿宋_GB2312" w:eastAsia="仿宋_GB2312"/>
          <w:sz w:val="32"/>
          <w:szCs w:val="32"/>
        </w:rPr>
        <w:t>指沿海岸线的滨海景观防护带。</w:t>
      </w:r>
      <w:r w:rsidR="0044715A" w:rsidRPr="00F76B17">
        <w:rPr>
          <w:rFonts w:ascii="仿宋_GB2312" w:eastAsia="仿宋_GB2312"/>
          <w:b/>
          <w:sz w:val="32"/>
          <w:szCs w:val="32"/>
        </w:rPr>
        <w:t>“</w:t>
      </w:r>
      <w:r w:rsidR="0044715A" w:rsidRPr="00F76B17">
        <w:rPr>
          <w:rFonts w:ascii="仿宋_GB2312" w:eastAsia="仿宋_GB2312"/>
          <w:b/>
          <w:sz w:val="32"/>
          <w:szCs w:val="32"/>
        </w:rPr>
        <w:t>四轴</w:t>
      </w:r>
      <w:r w:rsidR="0044715A" w:rsidRPr="00F76B17">
        <w:rPr>
          <w:rFonts w:ascii="仿宋_GB2312" w:eastAsia="仿宋_GB2312"/>
          <w:b/>
          <w:sz w:val="32"/>
          <w:szCs w:val="32"/>
        </w:rPr>
        <w:t>”</w:t>
      </w:r>
      <w:r w:rsidR="0044715A" w:rsidRPr="0044715A">
        <w:rPr>
          <w:rFonts w:ascii="仿宋_GB2312" w:eastAsia="仿宋_GB2312"/>
          <w:sz w:val="32"/>
          <w:szCs w:val="32"/>
        </w:rPr>
        <w:t>指</w:t>
      </w:r>
      <w:proofErr w:type="gramStart"/>
      <w:r w:rsidR="0044715A" w:rsidRPr="0044715A">
        <w:rPr>
          <w:rFonts w:ascii="仿宋_GB2312" w:eastAsia="仿宋_GB2312"/>
          <w:sz w:val="32"/>
          <w:szCs w:val="32"/>
        </w:rPr>
        <w:t>沿江华大道</w:t>
      </w:r>
      <w:proofErr w:type="gramEnd"/>
      <w:r w:rsidR="0044715A" w:rsidRPr="0044715A">
        <w:rPr>
          <w:rFonts w:ascii="仿宋_GB2312" w:eastAsia="仿宋_GB2312"/>
          <w:sz w:val="32"/>
          <w:szCs w:val="32"/>
        </w:rPr>
        <w:t>的产业联动发展轴和沿蓝色大道、闽台大道、海洋大道的区域协同发展轴；</w:t>
      </w:r>
      <w:r w:rsidR="0044715A" w:rsidRPr="00F76B17">
        <w:rPr>
          <w:rFonts w:ascii="仿宋_GB2312" w:eastAsia="仿宋_GB2312"/>
          <w:b/>
          <w:sz w:val="32"/>
          <w:szCs w:val="32"/>
        </w:rPr>
        <w:t>“</w:t>
      </w:r>
      <w:r w:rsidR="0044715A" w:rsidRPr="00F76B17">
        <w:rPr>
          <w:rFonts w:ascii="仿宋_GB2312" w:eastAsia="仿宋_GB2312"/>
          <w:b/>
          <w:sz w:val="32"/>
          <w:szCs w:val="32"/>
        </w:rPr>
        <w:t>三基地</w:t>
      </w:r>
      <w:r w:rsidR="0044715A" w:rsidRPr="00F76B17">
        <w:rPr>
          <w:rFonts w:ascii="仿宋_GB2312" w:eastAsia="仿宋_GB2312"/>
          <w:b/>
          <w:sz w:val="32"/>
          <w:szCs w:val="32"/>
        </w:rPr>
        <w:t>”</w:t>
      </w:r>
      <w:r w:rsidR="0044715A" w:rsidRPr="0044715A">
        <w:rPr>
          <w:rFonts w:ascii="仿宋_GB2312" w:eastAsia="仿宋_GB2312"/>
          <w:sz w:val="32"/>
          <w:szCs w:val="32"/>
        </w:rPr>
        <w:t>指科技创新产业基地、智能制造业基地、铝精深加工与电子功能性材料基地；</w:t>
      </w:r>
    </w:p>
    <w:p w:rsidR="0078012D" w:rsidRPr="0078012D" w:rsidRDefault="00E429E2" w:rsidP="0078012D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5</w:t>
      </w:r>
      <w:r w:rsidR="0078012D" w:rsidRPr="0078012D">
        <w:rPr>
          <w:rFonts w:ascii="仿宋_GB2312" w:eastAsia="仿宋_GB2312" w:hint="eastAsia"/>
          <w:b/>
          <w:sz w:val="32"/>
          <w:szCs w:val="32"/>
        </w:rPr>
        <w:t>、</w:t>
      </w:r>
      <w:r w:rsidR="00F76B17">
        <w:rPr>
          <w:rFonts w:ascii="仿宋_GB2312" w:eastAsia="仿宋_GB2312" w:hint="eastAsia"/>
          <w:b/>
          <w:sz w:val="32"/>
          <w:szCs w:val="32"/>
        </w:rPr>
        <w:t>用地布局</w:t>
      </w:r>
    </w:p>
    <w:p w:rsidR="00F76B17" w:rsidRPr="00F76B17" w:rsidRDefault="00F76B17" w:rsidP="00F76B17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F76B17">
        <w:rPr>
          <w:rFonts w:ascii="仿宋_GB2312" w:eastAsia="仿宋_GB2312"/>
          <w:sz w:val="32"/>
          <w:szCs w:val="32"/>
        </w:rPr>
        <w:t>本片区位于《闽台（福州）蓝色经济产业园总体规划修编（2020-2035年）》的中部产业组团，其定位及主导功能均为单一的产业发展用地。产业发展所需要的居住、公服、商服等配套设施均在湖滨以北解决。</w:t>
      </w:r>
    </w:p>
    <w:p w:rsidR="0044715A" w:rsidRPr="0044715A" w:rsidRDefault="0044715A" w:rsidP="0044715A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</w:t>
      </w:r>
      <w:r w:rsidR="00F76B17">
        <w:rPr>
          <w:rFonts w:ascii="仿宋_GB2312" w:eastAsia="仿宋_GB2312" w:hint="eastAsia"/>
          <w:sz w:val="32"/>
          <w:szCs w:val="32"/>
        </w:rPr>
        <w:t>工业用地</w:t>
      </w:r>
    </w:p>
    <w:p w:rsidR="00F76B17" w:rsidRPr="00F76B17" w:rsidRDefault="00F76B17" w:rsidP="00F76B17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F76B17">
        <w:rPr>
          <w:rFonts w:ascii="仿宋_GB2312" w:eastAsia="仿宋_GB2312"/>
          <w:sz w:val="32"/>
          <w:szCs w:val="32"/>
        </w:rPr>
        <w:t>规划工业用地面积407.08公顷，占城市建设用地面积的64.79%，均为</w:t>
      </w:r>
      <w:r w:rsidRPr="00F76B17">
        <w:rPr>
          <w:rFonts w:ascii="仿宋_GB2312" w:eastAsia="仿宋_GB2312" w:hint="eastAsia"/>
          <w:sz w:val="32"/>
          <w:szCs w:val="32"/>
        </w:rPr>
        <w:t>二类</w:t>
      </w:r>
      <w:r w:rsidRPr="00F76B17">
        <w:rPr>
          <w:rFonts w:ascii="仿宋_GB2312" w:eastAsia="仿宋_GB2312"/>
          <w:sz w:val="32"/>
          <w:szCs w:val="32"/>
        </w:rPr>
        <w:t>工业用地。根据《闽台（福州）蓝色经济产业园总体规划修编（2020-2035</w:t>
      </w:r>
      <w:r>
        <w:rPr>
          <w:rFonts w:ascii="仿宋_GB2312" w:eastAsia="仿宋_GB2312" w:hint="eastAsia"/>
          <w:sz w:val="32"/>
          <w:szCs w:val="32"/>
        </w:rPr>
        <w:t>年</w:t>
      </w:r>
      <w:r w:rsidRPr="00F76B17">
        <w:rPr>
          <w:rFonts w:ascii="仿宋_GB2312" w:eastAsia="仿宋_GB2312"/>
          <w:sz w:val="32"/>
          <w:szCs w:val="32"/>
        </w:rPr>
        <w:t>）》的产业定位要求，重点发展新能源、新材料、智能装备制造、铝精深加工与电子功能性材料等产业。</w:t>
      </w:r>
    </w:p>
    <w:p w:rsidR="0044715A" w:rsidRDefault="00F76B17" w:rsidP="0044715A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（2）物流仓储用地</w:t>
      </w:r>
    </w:p>
    <w:p w:rsidR="00F76B17" w:rsidRPr="00F76B17" w:rsidRDefault="00F76B17" w:rsidP="00F76B17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F76B17">
        <w:rPr>
          <w:rFonts w:ascii="仿宋_GB2312" w:eastAsia="仿宋_GB2312"/>
          <w:sz w:val="32"/>
          <w:szCs w:val="32"/>
        </w:rPr>
        <w:t>规划物流仓储用地面积22.42公顷，占城市建设用地面积的3.57%，为一类物流仓储用地。</w:t>
      </w:r>
    </w:p>
    <w:p w:rsidR="00F76B17" w:rsidRPr="00F76B17" w:rsidRDefault="00F76B17" w:rsidP="00F76B17">
      <w:pPr>
        <w:ind w:firstLineChars="200" w:firstLine="640"/>
        <w:rPr>
          <w:rFonts w:ascii="仿宋_GB2312" w:eastAsia="仿宋_GB2312"/>
          <w:sz w:val="32"/>
          <w:szCs w:val="32"/>
        </w:rPr>
      </w:pPr>
      <w:bookmarkStart w:id="1" w:name="_Toc15582554"/>
      <w:bookmarkStart w:id="2" w:name="_Toc24041926"/>
      <w:bookmarkStart w:id="3" w:name="_Toc103364730"/>
      <w:bookmarkStart w:id="4" w:name="_Toc103365629"/>
      <w:r>
        <w:rPr>
          <w:rFonts w:ascii="仿宋_GB2312" w:eastAsia="仿宋_GB2312" w:hint="eastAsia"/>
          <w:sz w:val="32"/>
          <w:szCs w:val="32"/>
        </w:rPr>
        <w:t>（3）</w:t>
      </w:r>
      <w:r w:rsidRPr="00F76B17">
        <w:rPr>
          <w:rFonts w:ascii="仿宋_GB2312" w:eastAsia="仿宋_GB2312"/>
          <w:sz w:val="32"/>
          <w:szCs w:val="32"/>
        </w:rPr>
        <w:t>公用设施用地</w:t>
      </w:r>
      <w:bookmarkEnd w:id="1"/>
      <w:bookmarkEnd w:id="2"/>
      <w:bookmarkEnd w:id="3"/>
      <w:bookmarkEnd w:id="4"/>
    </w:p>
    <w:p w:rsidR="00F76B17" w:rsidRDefault="00F76B17" w:rsidP="00F76B17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F76B17">
        <w:rPr>
          <w:rFonts w:ascii="仿宋_GB2312" w:eastAsia="仿宋_GB2312"/>
          <w:sz w:val="32"/>
          <w:szCs w:val="32"/>
        </w:rPr>
        <w:t>规划公用设施用地面积3.02公顷，占城市建设用地面</w:t>
      </w:r>
      <w:r w:rsidRPr="00F76B17">
        <w:rPr>
          <w:rFonts w:ascii="仿宋_GB2312" w:eastAsia="仿宋_GB2312"/>
          <w:sz w:val="32"/>
          <w:szCs w:val="32"/>
        </w:rPr>
        <w:lastRenderedPageBreak/>
        <w:t>积的0.48%。</w:t>
      </w:r>
      <w:r>
        <w:rPr>
          <w:rFonts w:ascii="仿宋_GB2312" w:eastAsia="仿宋_GB2312" w:hint="eastAsia"/>
          <w:sz w:val="32"/>
          <w:szCs w:val="32"/>
        </w:rPr>
        <w:t>包括新华变电站、江镜变电站、垃圾转运站及闽台（福州）蓝色经济产业园2#消防站。</w:t>
      </w:r>
    </w:p>
    <w:p w:rsidR="00F76B17" w:rsidRPr="00F76B17" w:rsidRDefault="00F76B17" w:rsidP="00F76B17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（4）</w:t>
      </w:r>
      <w:bookmarkStart w:id="5" w:name="_Toc15582555"/>
      <w:bookmarkStart w:id="6" w:name="_Toc24041928"/>
      <w:bookmarkStart w:id="7" w:name="_Toc103364731"/>
      <w:bookmarkStart w:id="8" w:name="_Toc103365630"/>
      <w:r w:rsidRPr="00F76B17">
        <w:rPr>
          <w:rFonts w:ascii="仿宋_GB2312" w:eastAsia="仿宋_GB2312"/>
          <w:sz w:val="32"/>
          <w:szCs w:val="32"/>
        </w:rPr>
        <w:t>绿地与广场</w:t>
      </w:r>
      <w:bookmarkEnd w:id="5"/>
      <w:bookmarkEnd w:id="6"/>
      <w:r w:rsidRPr="00F76B17">
        <w:rPr>
          <w:rFonts w:ascii="仿宋_GB2312" w:eastAsia="仿宋_GB2312"/>
          <w:sz w:val="32"/>
          <w:szCs w:val="32"/>
        </w:rPr>
        <w:t>用地</w:t>
      </w:r>
      <w:bookmarkEnd w:id="7"/>
      <w:bookmarkEnd w:id="8"/>
    </w:p>
    <w:p w:rsidR="00F76B17" w:rsidRPr="00F76B17" w:rsidRDefault="00F76B17" w:rsidP="00F76B17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F76B17">
        <w:rPr>
          <w:rFonts w:ascii="仿宋_GB2312" w:eastAsia="仿宋_GB2312"/>
          <w:sz w:val="32"/>
          <w:szCs w:val="32"/>
        </w:rPr>
        <w:t>规划绿地与广场用地面积118.56公顷，占城市建设用地面积的18.87%，均为防护绿地，包括城市干道防护绿地、工业用地防护绿地、市政公用设施防护隔离绿地及河湖水系防护绿地等四类。</w:t>
      </w:r>
    </w:p>
    <w:p w:rsidR="0078012D" w:rsidRPr="0078012D" w:rsidRDefault="00E429E2" w:rsidP="0078012D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6</w:t>
      </w:r>
      <w:r w:rsidR="0078012D" w:rsidRPr="0078012D">
        <w:rPr>
          <w:rFonts w:ascii="仿宋_GB2312" w:eastAsia="仿宋_GB2312" w:hint="eastAsia"/>
          <w:b/>
          <w:sz w:val="32"/>
          <w:szCs w:val="32"/>
        </w:rPr>
        <w:t>、道路交通规划</w:t>
      </w:r>
    </w:p>
    <w:p w:rsidR="0078012D" w:rsidRDefault="00E429E2" w:rsidP="00E429E2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429E2">
        <w:rPr>
          <w:rFonts w:ascii="仿宋_GB2312" w:eastAsia="仿宋_GB2312" w:hint="eastAsia"/>
          <w:sz w:val="32"/>
          <w:szCs w:val="32"/>
        </w:rPr>
        <w:t>规划形成</w:t>
      </w:r>
      <w:r w:rsidR="0044715A">
        <w:rPr>
          <w:rFonts w:ascii="仿宋_GB2312" w:eastAsia="仿宋_GB2312" w:hint="eastAsia"/>
          <w:sz w:val="32"/>
          <w:szCs w:val="32"/>
        </w:rPr>
        <w:t>以</w:t>
      </w:r>
      <w:r w:rsidRPr="00E429E2">
        <w:rPr>
          <w:rFonts w:ascii="仿宋_GB2312" w:eastAsia="仿宋_GB2312" w:hint="eastAsia"/>
          <w:sz w:val="32"/>
          <w:szCs w:val="32"/>
        </w:rPr>
        <w:t>主干路为骨架，次干路、支路为补充，功能明晰、等级合理的道路系统。</w:t>
      </w:r>
      <w:r>
        <w:rPr>
          <w:rFonts w:ascii="仿宋_GB2312" w:eastAsia="仿宋_GB2312" w:hint="eastAsia"/>
          <w:sz w:val="32"/>
          <w:szCs w:val="32"/>
        </w:rPr>
        <w:t>其中，规划区内形成“</w:t>
      </w:r>
      <w:r w:rsidR="0044715A">
        <w:rPr>
          <w:rFonts w:ascii="仿宋_GB2312" w:eastAsia="仿宋_GB2312" w:hint="eastAsia"/>
          <w:sz w:val="32"/>
          <w:szCs w:val="32"/>
        </w:rPr>
        <w:t>五纵两横</w:t>
      </w:r>
      <w:r>
        <w:rPr>
          <w:rFonts w:ascii="仿宋_GB2312" w:eastAsia="仿宋_GB2312" w:hint="eastAsia"/>
          <w:sz w:val="32"/>
          <w:szCs w:val="32"/>
        </w:rPr>
        <w:t>”的骨架路网格局、</w:t>
      </w:r>
      <w:r w:rsidR="007E7805">
        <w:rPr>
          <w:rFonts w:ascii="仿宋_GB2312" w:eastAsia="仿宋_GB2312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条次干路及</w:t>
      </w:r>
      <w:r w:rsidR="007E7805"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条支路。</w:t>
      </w:r>
      <w:r w:rsidR="0044715A">
        <w:rPr>
          <w:rFonts w:ascii="仿宋_GB2312" w:eastAsia="仿宋_GB2312" w:hint="eastAsia"/>
          <w:sz w:val="32"/>
          <w:szCs w:val="32"/>
        </w:rPr>
        <w:t>其中，考虑园区入驻企业的不确定性及新材料企业用地规模的多样性，在保证</w:t>
      </w:r>
      <w:r w:rsidR="0044715A" w:rsidRPr="0044715A">
        <w:rPr>
          <w:rFonts w:ascii="仿宋_GB2312" w:eastAsia="仿宋_GB2312"/>
          <w:sz w:val="32"/>
          <w:szCs w:val="32"/>
        </w:rPr>
        <w:t>总体主干网骨架的基础上，将片区内部的局部次干道确定为弹性道路，</w:t>
      </w:r>
      <w:r w:rsidR="0044715A">
        <w:rPr>
          <w:rFonts w:ascii="仿宋_GB2312" w:eastAsia="仿宋_GB2312" w:hint="eastAsia"/>
          <w:sz w:val="32"/>
          <w:szCs w:val="32"/>
        </w:rPr>
        <w:t>包括规划次一路、规划次二路和规划次三路。</w:t>
      </w:r>
    </w:p>
    <w:p w:rsidR="00E429E2" w:rsidRDefault="00E429E2" w:rsidP="0078012D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752DD6" w:rsidRDefault="00752DD6" w:rsidP="0078012D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752DD6" w:rsidRDefault="00752DD6" w:rsidP="0078012D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752DD6" w:rsidRDefault="00752DD6" w:rsidP="0078012D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752DD6" w:rsidRDefault="00752DD6" w:rsidP="0078012D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752DD6" w:rsidRDefault="00752DD6" w:rsidP="0078012D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752DD6" w:rsidRDefault="00752DD6" w:rsidP="0078012D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752DD6" w:rsidRDefault="00752DD6" w:rsidP="0078012D">
      <w:pPr>
        <w:ind w:firstLineChars="200" w:firstLine="643"/>
        <w:rPr>
          <w:rFonts w:ascii="仿宋_GB2312" w:eastAsia="仿宋_GB2312"/>
          <w:b/>
          <w:sz w:val="32"/>
          <w:szCs w:val="32"/>
        </w:rPr>
        <w:sectPr w:rsidR="00752DD6">
          <w:footerReference w:type="even" r:id="rId8"/>
          <w:footerReference w:type="default" r:id="rId9"/>
          <w:pgSz w:w="11906" w:h="16838"/>
          <w:pgMar w:top="1440" w:right="1797" w:bottom="1440" w:left="1797" w:header="851" w:footer="992" w:gutter="0"/>
          <w:pgNumType w:fmt="numberInDash"/>
          <w:cols w:space="425"/>
          <w:docGrid w:type="lines" w:linePitch="312"/>
        </w:sectPr>
      </w:pPr>
    </w:p>
    <w:p w:rsidR="0078012D" w:rsidRPr="0078012D" w:rsidRDefault="0078012D" w:rsidP="0078012D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78012D">
        <w:rPr>
          <w:rFonts w:ascii="仿宋_GB2312" w:eastAsia="仿宋_GB2312" w:hint="eastAsia"/>
          <w:b/>
          <w:sz w:val="32"/>
          <w:szCs w:val="32"/>
        </w:rPr>
        <w:lastRenderedPageBreak/>
        <w:t>二、</w:t>
      </w:r>
      <w:r w:rsidR="00CB0717">
        <w:rPr>
          <w:rFonts w:ascii="仿宋_GB2312" w:eastAsia="仿宋_GB2312" w:hint="eastAsia"/>
          <w:b/>
          <w:sz w:val="32"/>
          <w:szCs w:val="32"/>
        </w:rPr>
        <w:t>主要</w:t>
      </w:r>
      <w:r w:rsidRPr="0078012D">
        <w:rPr>
          <w:rFonts w:ascii="仿宋_GB2312" w:eastAsia="仿宋_GB2312" w:hint="eastAsia"/>
          <w:b/>
          <w:sz w:val="32"/>
          <w:szCs w:val="32"/>
        </w:rPr>
        <w:t>规划图纸</w:t>
      </w:r>
    </w:p>
    <w:p w:rsidR="0078012D" w:rsidRDefault="00752DD6" w:rsidP="00E429E2">
      <w:pPr>
        <w:spacing w:line="540" w:lineRule="auto"/>
        <w:rPr>
          <w:rFonts w:ascii="仿宋_GB2312" w:eastAsia="仿宋_GB2312"/>
          <w:sz w:val="36"/>
          <w:szCs w:val="32"/>
        </w:rPr>
      </w:pPr>
      <w:r w:rsidRPr="00752DD6">
        <w:rPr>
          <w:rFonts w:ascii="仿宋_GB2312" w:eastAsia="仿宋_GB2312"/>
          <w:noProof/>
          <w:sz w:val="36"/>
          <w:szCs w:val="32"/>
        </w:rPr>
        <w:drawing>
          <wp:anchor distT="0" distB="0" distL="114300" distR="114300" simplePos="0" relativeHeight="251658240" behindDoc="0" locked="0" layoutInCell="1" allowOverlap="1" wp14:anchorId="372C5BD6" wp14:editId="3BCBE9F3">
            <wp:simplePos x="0" y="0"/>
            <wp:positionH relativeFrom="column">
              <wp:posOffset>1257300</wp:posOffset>
            </wp:positionH>
            <wp:positionV relativeFrom="paragraph">
              <wp:posOffset>436245</wp:posOffset>
            </wp:positionV>
            <wp:extent cx="6619406" cy="4680000"/>
            <wp:effectExtent l="0" t="0" r="0" b="6350"/>
            <wp:wrapNone/>
            <wp:docPr id="1" name="图片 1" descr="F:\A-福州市\015-蓝色经济产业园控制性详细规划\05-评审会\01-评审稿汇总\评审稿图纸\缩小40%\01区位分析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-福州市\015-蓝色经济产业园控制性详细规划\05-评审会\01-评审稿汇总\评审稿图纸\缩小40%\01区位分析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406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9E2">
        <w:rPr>
          <w:rFonts w:ascii="仿宋_GB2312" w:eastAsia="仿宋_GB2312" w:hint="eastAsia"/>
          <w:sz w:val="36"/>
          <w:szCs w:val="32"/>
        </w:rPr>
        <w:t>1、区位图</w:t>
      </w:r>
    </w:p>
    <w:p w:rsidR="00752DD6" w:rsidRDefault="00752DD6" w:rsidP="00E429E2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752DD6" w:rsidRDefault="00752DD6" w:rsidP="00E429E2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752DD6" w:rsidRDefault="00752DD6" w:rsidP="00E429E2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752DD6" w:rsidRDefault="00752DD6" w:rsidP="00E429E2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752DD6" w:rsidRDefault="00752DD6" w:rsidP="00E429E2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752DD6" w:rsidRDefault="00752DD6" w:rsidP="00E429E2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752DD6" w:rsidRDefault="00752DD6" w:rsidP="00E429E2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136BA3" w:rsidRDefault="00136BA3" w:rsidP="00752DD6">
      <w:pPr>
        <w:jc w:val="center"/>
        <w:rPr>
          <w:rFonts w:ascii="仿宋_GB2312" w:eastAsia="仿宋_GB2312"/>
          <w:sz w:val="36"/>
          <w:szCs w:val="32"/>
        </w:rPr>
      </w:pPr>
    </w:p>
    <w:p w:rsidR="00752DD6" w:rsidRDefault="00752DD6" w:rsidP="00752DD6">
      <w:pPr>
        <w:jc w:val="center"/>
        <w:rPr>
          <w:rFonts w:ascii="仿宋_GB2312" w:eastAsia="仿宋_GB2312"/>
          <w:sz w:val="36"/>
          <w:szCs w:val="32"/>
        </w:rPr>
      </w:pPr>
    </w:p>
    <w:p w:rsidR="00752DD6" w:rsidRDefault="00752DD6" w:rsidP="00752DD6">
      <w:pPr>
        <w:jc w:val="center"/>
        <w:rPr>
          <w:rFonts w:ascii="仿宋_GB2312" w:eastAsia="仿宋_GB2312"/>
          <w:sz w:val="36"/>
          <w:szCs w:val="32"/>
        </w:rPr>
      </w:pPr>
    </w:p>
    <w:p w:rsidR="00E429E2" w:rsidRDefault="00E429E2" w:rsidP="00E429E2">
      <w:pPr>
        <w:spacing w:line="540" w:lineRule="auto"/>
        <w:rPr>
          <w:rFonts w:ascii="仿宋_GB2312" w:eastAsia="仿宋_GB2312"/>
          <w:sz w:val="36"/>
          <w:szCs w:val="32"/>
        </w:rPr>
      </w:pPr>
      <w:r>
        <w:rPr>
          <w:rFonts w:ascii="仿宋_GB2312" w:eastAsia="仿宋_GB2312" w:hint="eastAsia"/>
          <w:sz w:val="36"/>
          <w:szCs w:val="32"/>
        </w:rPr>
        <w:lastRenderedPageBreak/>
        <w:t>2、规划结构图</w:t>
      </w:r>
    </w:p>
    <w:p w:rsidR="00136BA3" w:rsidRDefault="00752DD6" w:rsidP="00752DD6">
      <w:pPr>
        <w:spacing w:line="540" w:lineRule="auto"/>
        <w:jc w:val="center"/>
        <w:rPr>
          <w:rFonts w:ascii="仿宋_GB2312" w:eastAsia="仿宋_GB2312"/>
          <w:sz w:val="36"/>
          <w:szCs w:val="32"/>
        </w:rPr>
      </w:pPr>
      <w:r w:rsidRPr="00752DD6">
        <w:rPr>
          <w:rFonts w:ascii="仿宋_GB2312" w:eastAsia="仿宋_GB2312"/>
          <w:noProof/>
          <w:sz w:val="36"/>
          <w:szCs w:val="32"/>
        </w:rPr>
        <w:drawing>
          <wp:inline distT="0" distB="0" distL="0" distR="0">
            <wp:extent cx="6619408" cy="4680000"/>
            <wp:effectExtent l="0" t="0" r="0" b="6350"/>
            <wp:docPr id="3" name="图片 3" descr="F:\A-福州市\015-蓝色经济产业园控制性详细规划\05-评审会\01-评审稿汇总\评审稿图纸\缩小40%\10规划结构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-福州市\015-蓝色经济产业园控制性详细规划\05-评审会\01-评审稿汇总\评审稿图纸\缩小40%\10规划结构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408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61" w:rsidRDefault="00FD5961" w:rsidP="00E429E2">
      <w:pPr>
        <w:spacing w:line="540" w:lineRule="auto"/>
        <w:rPr>
          <w:rFonts w:ascii="仿宋_GB2312" w:eastAsia="仿宋_GB2312"/>
          <w:sz w:val="36"/>
          <w:szCs w:val="32"/>
        </w:rPr>
      </w:pPr>
      <w:r>
        <w:rPr>
          <w:rFonts w:ascii="仿宋_GB2312" w:eastAsia="仿宋_GB2312" w:hint="eastAsia"/>
          <w:sz w:val="36"/>
          <w:szCs w:val="32"/>
        </w:rPr>
        <w:lastRenderedPageBreak/>
        <w:t>3、用地规划图</w:t>
      </w:r>
    </w:p>
    <w:p w:rsidR="00136BA3" w:rsidRDefault="004862EA" w:rsidP="00752DD6">
      <w:pPr>
        <w:spacing w:line="540" w:lineRule="auto"/>
        <w:jc w:val="center"/>
        <w:rPr>
          <w:rFonts w:ascii="仿宋_GB2312" w:eastAsia="仿宋_GB2312"/>
          <w:sz w:val="36"/>
          <w:szCs w:val="32"/>
        </w:rPr>
      </w:pPr>
      <w:r w:rsidRPr="004862EA">
        <w:rPr>
          <w:rFonts w:ascii="仿宋_GB2312" w:eastAsia="仿宋_GB2312"/>
          <w:noProof/>
          <w:sz w:val="36"/>
          <w:szCs w:val="32"/>
        </w:rPr>
        <w:drawing>
          <wp:inline distT="0" distB="0" distL="0" distR="0">
            <wp:extent cx="6624513" cy="4680000"/>
            <wp:effectExtent l="0" t="0" r="5080" b="6350"/>
            <wp:docPr id="4" name="图片 4" descr="F:\A-福州市\015-蓝色经济产业园控制性详细规划\03-方案\05.07-评审稿汇总\出图\09用地布局图（改二类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-福州市\015-蓝色经济产业园控制性详细规划\03-方案\05.07-评审稿汇总\出图\09用地布局图（改二类）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513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DD6" w:rsidRDefault="00752DD6" w:rsidP="00752DD6">
      <w:pPr>
        <w:spacing w:line="540" w:lineRule="auto"/>
        <w:rPr>
          <w:rFonts w:ascii="仿宋_GB2312" w:eastAsia="仿宋_GB2312"/>
          <w:sz w:val="36"/>
          <w:szCs w:val="32"/>
        </w:rPr>
      </w:pPr>
      <w:r>
        <w:rPr>
          <w:rFonts w:ascii="仿宋_GB2312" w:eastAsia="仿宋_GB2312"/>
          <w:sz w:val="36"/>
          <w:szCs w:val="32"/>
        </w:rPr>
        <w:lastRenderedPageBreak/>
        <w:t>4</w:t>
      </w:r>
      <w:r>
        <w:rPr>
          <w:rFonts w:ascii="仿宋_GB2312" w:eastAsia="仿宋_GB2312" w:hint="eastAsia"/>
          <w:sz w:val="36"/>
          <w:szCs w:val="32"/>
        </w:rPr>
        <w:t>、道路交通规划图</w:t>
      </w:r>
    </w:p>
    <w:p w:rsidR="00136BA3" w:rsidRDefault="004862EA" w:rsidP="00752DD6">
      <w:pPr>
        <w:spacing w:line="540" w:lineRule="auto"/>
        <w:jc w:val="center"/>
        <w:rPr>
          <w:rFonts w:ascii="仿宋_GB2312" w:eastAsia="仿宋_GB2312"/>
          <w:sz w:val="36"/>
          <w:szCs w:val="32"/>
        </w:rPr>
      </w:pPr>
      <w:r w:rsidRPr="004862EA">
        <w:rPr>
          <w:rFonts w:ascii="仿宋_GB2312" w:eastAsia="仿宋_GB2312"/>
          <w:noProof/>
          <w:sz w:val="36"/>
          <w:szCs w:val="32"/>
        </w:rPr>
        <w:drawing>
          <wp:inline distT="0" distB="0" distL="0" distR="0">
            <wp:extent cx="6624513" cy="4680000"/>
            <wp:effectExtent l="0" t="0" r="5080" b="6350"/>
            <wp:docPr id="6" name="图片 6" descr="F:\A-福州市\015-蓝色经济产业园控制性详细规划\03-方案\05.07-评审稿汇总\出图\12道路交通规划图（调整弹性路网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-福州市\015-蓝色经济产业园控制性详细规划\03-方案\05.07-评审稿汇总\出图\12道路交通规划图（调整弹性路网）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513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BA3" w:rsidSect="00752DD6">
      <w:pgSz w:w="16838" w:h="11906" w:orient="landscape"/>
      <w:pgMar w:top="1797" w:right="1440" w:bottom="1797" w:left="144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C8A" w:rsidRDefault="000C0C8A">
      <w:r>
        <w:separator/>
      </w:r>
    </w:p>
  </w:endnote>
  <w:endnote w:type="continuationSeparator" w:id="0">
    <w:p w:rsidR="000C0C8A" w:rsidRDefault="000C0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C1C" w:rsidRDefault="00DB77B1">
    <w:pPr>
      <w:pStyle w:val="a6"/>
      <w:framePr w:wrap="around" w:vAnchor="text" w:hAnchor="margin" w:xAlign="outside" w:y="1"/>
      <w:ind w:firstLine="280"/>
      <w:rPr>
        <w:rStyle w:val="aa"/>
        <w:rFonts w:ascii="宋体" w:hAnsi="宋体"/>
        <w:sz w:val="28"/>
        <w:szCs w:val="28"/>
      </w:rPr>
    </w:pPr>
    <w:r>
      <w:rPr>
        <w:rStyle w:val="aa"/>
        <w:rFonts w:ascii="宋体" w:hAnsi="宋体"/>
        <w:sz w:val="28"/>
        <w:szCs w:val="28"/>
      </w:rPr>
      <w:fldChar w:fldCharType="begin"/>
    </w:r>
    <w:r>
      <w:rPr>
        <w:rStyle w:val="aa"/>
        <w:rFonts w:ascii="宋体" w:hAnsi="宋体"/>
        <w:sz w:val="28"/>
        <w:szCs w:val="28"/>
      </w:rPr>
      <w:instrText xml:space="preserve">PAGE  </w:instrText>
    </w:r>
    <w:r>
      <w:rPr>
        <w:rStyle w:val="aa"/>
        <w:rFonts w:ascii="宋体" w:hAnsi="宋体"/>
        <w:sz w:val="28"/>
        <w:szCs w:val="28"/>
      </w:rPr>
      <w:fldChar w:fldCharType="separate"/>
    </w:r>
    <w:r w:rsidR="00166C6E">
      <w:rPr>
        <w:rStyle w:val="aa"/>
        <w:rFonts w:ascii="宋体" w:hAnsi="宋体"/>
        <w:noProof/>
        <w:sz w:val="28"/>
        <w:szCs w:val="28"/>
      </w:rPr>
      <w:t>- 6 -</w:t>
    </w:r>
    <w:r>
      <w:rPr>
        <w:rStyle w:val="aa"/>
        <w:rFonts w:ascii="宋体" w:hAnsi="宋体"/>
        <w:sz w:val="28"/>
        <w:szCs w:val="28"/>
      </w:rPr>
      <w:fldChar w:fldCharType="end"/>
    </w:r>
  </w:p>
  <w:p w:rsidR="00C23C1C" w:rsidRDefault="00C23C1C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C1C" w:rsidRDefault="00DB77B1">
    <w:pPr>
      <w:pStyle w:val="a6"/>
      <w:framePr w:w="1099" w:wrap="around" w:vAnchor="text" w:hAnchor="page" w:x="8998" w:y="-2"/>
      <w:jc w:val="both"/>
      <w:rPr>
        <w:rStyle w:val="aa"/>
        <w:rFonts w:ascii="宋体" w:hAnsi="宋体"/>
        <w:sz w:val="28"/>
        <w:szCs w:val="28"/>
      </w:rPr>
    </w:pPr>
    <w:r>
      <w:rPr>
        <w:rStyle w:val="aa"/>
        <w:rFonts w:ascii="宋体" w:hAnsi="宋体" w:hint="eastAsia"/>
        <w:sz w:val="28"/>
        <w:szCs w:val="28"/>
      </w:rPr>
      <w:fldChar w:fldCharType="begin"/>
    </w:r>
    <w:r>
      <w:rPr>
        <w:rStyle w:val="aa"/>
        <w:rFonts w:ascii="宋体" w:hAnsi="宋体" w:hint="eastAsia"/>
        <w:sz w:val="28"/>
        <w:szCs w:val="28"/>
      </w:rPr>
      <w:instrText xml:space="preserve">PAGE  </w:instrText>
    </w:r>
    <w:r>
      <w:rPr>
        <w:rStyle w:val="aa"/>
        <w:rFonts w:ascii="宋体" w:hAnsi="宋体" w:hint="eastAsia"/>
        <w:sz w:val="28"/>
        <w:szCs w:val="28"/>
      </w:rPr>
      <w:fldChar w:fldCharType="separate"/>
    </w:r>
    <w:r w:rsidR="00166C6E">
      <w:rPr>
        <w:rStyle w:val="aa"/>
        <w:rFonts w:ascii="宋体" w:hAnsi="宋体"/>
        <w:noProof/>
        <w:sz w:val="28"/>
        <w:szCs w:val="28"/>
      </w:rPr>
      <w:t>- 7 -</w:t>
    </w:r>
    <w:r>
      <w:rPr>
        <w:rStyle w:val="aa"/>
        <w:rFonts w:ascii="宋体" w:hAnsi="宋体" w:hint="eastAsia"/>
        <w:sz w:val="28"/>
        <w:szCs w:val="28"/>
      </w:rPr>
      <w:fldChar w:fldCharType="end"/>
    </w:r>
    <w:r>
      <w:rPr>
        <w:rStyle w:val="aa"/>
        <w:rFonts w:ascii="宋体" w:hAnsi="宋体" w:hint="eastAsia"/>
        <w:sz w:val="28"/>
        <w:szCs w:val="28"/>
      </w:rPr>
      <w:t xml:space="preserve">       </w:t>
    </w:r>
  </w:p>
  <w:p w:rsidR="00C23C1C" w:rsidRDefault="00C23C1C">
    <w:pPr>
      <w:pStyle w:val="a6"/>
      <w:ind w:right="360" w:firstLine="360"/>
      <w:rPr>
        <w:rFonts w:ascii="仿宋_GB2312" w:eastAsia="仿宋_GB2312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C8A" w:rsidRDefault="000C0C8A">
      <w:r>
        <w:separator/>
      </w:r>
    </w:p>
  </w:footnote>
  <w:footnote w:type="continuationSeparator" w:id="0">
    <w:p w:rsidR="000C0C8A" w:rsidRDefault="000C0C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E7B"/>
    <w:multiLevelType w:val="multilevel"/>
    <w:tmpl w:val="6D5641F4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328A24CA"/>
    <w:multiLevelType w:val="multilevel"/>
    <w:tmpl w:val="328A24CA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BE67BF1"/>
    <w:multiLevelType w:val="hybridMultilevel"/>
    <w:tmpl w:val="454C0A26"/>
    <w:lvl w:ilvl="0" w:tplc="0409000F">
      <w:start w:val="1"/>
      <w:numFmt w:val="decimal"/>
      <w:lvlText w:val="%1."/>
      <w:lvlJc w:val="left"/>
      <w:pPr>
        <w:ind w:left="1460" w:hanging="420"/>
      </w:pPr>
    </w:lvl>
    <w:lvl w:ilvl="1" w:tplc="04090019" w:tentative="1">
      <w:start w:val="1"/>
      <w:numFmt w:val="lowerLetter"/>
      <w:lvlText w:val="%2)"/>
      <w:lvlJc w:val="left"/>
      <w:pPr>
        <w:ind w:left="1880" w:hanging="420"/>
      </w:pPr>
    </w:lvl>
    <w:lvl w:ilvl="2" w:tplc="0409001B" w:tentative="1">
      <w:start w:val="1"/>
      <w:numFmt w:val="lowerRoman"/>
      <w:lvlText w:val="%3."/>
      <w:lvlJc w:val="right"/>
      <w:pPr>
        <w:ind w:left="2300" w:hanging="420"/>
      </w:pPr>
    </w:lvl>
    <w:lvl w:ilvl="3" w:tplc="0409000F" w:tentative="1">
      <w:start w:val="1"/>
      <w:numFmt w:val="decimal"/>
      <w:lvlText w:val="%4."/>
      <w:lvlJc w:val="left"/>
      <w:pPr>
        <w:ind w:left="2720" w:hanging="420"/>
      </w:pPr>
    </w:lvl>
    <w:lvl w:ilvl="4" w:tplc="04090019" w:tentative="1">
      <w:start w:val="1"/>
      <w:numFmt w:val="lowerLetter"/>
      <w:lvlText w:val="%5)"/>
      <w:lvlJc w:val="left"/>
      <w:pPr>
        <w:ind w:left="3140" w:hanging="420"/>
      </w:pPr>
    </w:lvl>
    <w:lvl w:ilvl="5" w:tplc="0409001B" w:tentative="1">
      <w:start w:val="1"/>
      <w:numFmt w:val="lowerRoman"/>
      <w:lvlText w:val="%6."/>
      <w:lvlJc w:val="right"/>
      <w:pPr>
        <w:ind w:left="3560" w:hanging="420"/>
      </w:pPr>
    </w:lvl>
    <w:lvl w:ilvl="6" w:tplc="0409000F" w:tentative="1">
      <w:start w:val="1"/>
      <w:numFmt w:val="decimal"/>
      <w:lvlText w:val="%7."/>
      <w:lvlJc w:val="left"/>
      <w:pPr>
        <w:ind w:left="3980" w:hanging="420"/>
      </w:pPr>
    </w:lvl>
    <w:lvl w:ilvl="7" w:tplc="04090019" w:tentative="1">
      <w:start w:val="1"/>
      <w:numFmt w:val="lowerLetter"/>
      <w:lvlText w:val="%8)"/>
      <w:lvlJc w:val="left"/>
      <w:pPr>
        <w:ind w:left="4400" w:hanging="420"/>
      </w:pPr>
    </w:lvl>
    <w:lvl w:ilvl="8" w:tplc="0409001B" w:tentative="1">
      <w:start w:val="1"/>
      <w:numFmt w:val="lowerRoman"/>
      <w:lvlText w:val="%9."/>
      <w:lvlJc w:val="right"/>
      <w:pPr>
        <w:ind w:left="482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E3F"/>
    <w:rsid w:val="00073B6C"/>
    <w:rsid w:val="000C0C8A"/>
    <w:rsid w:val="00136BA3"/>
    <w:rsid w:val="00145290"/>
    <w:rsid w:val="00166C6E"/>
    <w:rsid w:val="00197E90"/>
    <w:rsid w:val="002329EF"/>
    <w:rsid w:val="0029627B"/>
    <w:rsid w:val="002A7811"/>
    <w:rsid w:val="003266A9"/>
    <w:rsid w:val="00377466"/>
    <w:rsid w:val="003D32E4"/>
    <w:rsid w:val="0044715A"/>
    <w:rsid w:val="004862EA"/>
    <w:rsid w:val="0049353C"/>
    <w:rsid w:val="00583C5D"/>
    <w:rsid w:val="005D470B"/>
    <w:rsid w:val="00605426"/>
    <w:rsid w:val="00626E3B"/>
    <w:rsid w:val="0064537D"/>
    <w:rsid w:val="00662CE2"/>
    <w:rsid w:val="006B1EFC"/>
    <w:rsid w:val="006B2B89"/>
    <w:rsid w:val="00752DD6"/>
    <w:rsid w:val="00771A40"/>
    <w:rsid w:val="00773384"/>
    <w:rsid w:val="0078012D"/>
    <w:rsid w:val="00787316"/>
    <w:rsid w:val="007D3B58"/>
    <w:rsid w:val="007E7805"/>
    <w:rsid w:val="00821368"/>
    <w:rsid w:val="00884FF3"/>
    <w:rsid w:val="00952DE1"/>
    <w:rsid w:val="00964AD6"/>
    <w:rsid w:val="009F3FB4"/>
    <w:rsid w:val="00AC561B"/>
    <w:rsid w:val="00B927E5"/>
    <w:rsid w:val="00BA5242"/>
    <w:rsid w:val="00BF7A60"/>
    <w:rsid w:val="00C23C1C"/>
    <w:rsid w:val="00CB0717"/>
    <w:rsid w:val="00CD7E3F"/>
    <w:rsid w:val="00D57799"/>
    <w:rsid w:val="00D86481"/>
    <w:rsid w:val="00DB77B1"/>
    <w:rsid w:val="00E13ECA"/>
    <w:rsid w:val="00E314CD"/>
    <w:rsid w:val="00E429E2"/>
    <w:rsid w:val="00E84063"/>
    <w:rsid w:val="00E85898"/>
    <w:rsid w:val="00EE6185"/>
    <w:rsid w:val="00F76260"/>
    <w:rsid w:val="00F76B17"/>
    <w:rsid w:val="00FD5961"/>
    <w:rsid w:val="4613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2906A91E-270A-417B-887C-A3696DC07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2DD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pPr>
      <w:ind w:left="100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link w:val="a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page number"/>
    <w:basedOn w:val="a0"/>
  </w:style>
  <w:style w:type="character" w:customStyle="1" w:styleId="a9">
    <w:name w:val="普通(网站) 字符"/>
    <w:link w:val="a8"/>
    <w:rPr>
      <w:rFonts w:ascii="宋体" w:eastAsia="宋体" w:hAnsi="宋体" w:cs="宋体"/>
      <w:sz w:val="24"/>
      <w:szCs w:val="24"/>
      <w:lang w:val="en-US" w:eastAsia="zh-CN" w:bidi="ar-SA"/>
    </w:rPr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6B2B89"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7</Pages>
  <Words>184</Words>
  <Characters>1053</Characters>
  <Application>Microsoft Office Word</Application>
  <DocSecurity>0</DocSecurity>
  <Lines>8</Lines>
  <Paragraphs>2</Paragraphs>
  <ScaleCrop>false</ScaleCrop>
  <Company>Microsoft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融规 [2012] 253号                  签发人：郑卫东</dc:title>
  <dc:subject/>
  <dc:creator>User</dc:creator>
  <cp:keywords/>
  <dc:description/>
  <cp:lastModifiedBy>GJ</cp:lastModifiedBy>
  <cp:revision>7</cp:revision>
  <cp:lastPrinted>2018-11-14T01:23:00Z</cp:lastPrinted>
  <dcterms:created xsi:type="dcterms:W3CDTF">2021-12-07T02:25:00Z</dcterms:created>
  <dcterms:modified xsi:type="dcterms:W3CDTF">2022-05-18T02:05:00Z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