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A795C1">
      <w:pPr>
        <w:spacing w:line="540" w:lineRule="auto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附件</w:t>
      </w:r>
    </w:p>
    <w:p w14:paraId="1C50C88E">
      <w:pPr>
        <w:spacing w:line="540" w:lineRule="auto"/>
        <w:jc w:val="left"/>
        <w:rPr>
          <w:rFonts w:ascii="仿宋_GB2312" w:hAnsi="仿宋" w:eastAsia="仿宋_GB2312"/>
          <w:b/>
          <w:sz w:val="32"/>
          <w:szCs w:val="32"/>
        </w:rPr>
      </w:pPr>
      <w:r>
        <w:rPr>
          <w:rFonts w:hint="eastAsia" w:ascii="仿宋_GB2312" w:hAnsi="仿宋" w:eastAsia="仿宋_GB2312"/>
          <w:b/>
          <w:sz w:val="32"/>
          <w:szCs w:val="32"/>
        </w:rPr>
        <w:t>《福清市东部新城南片区控制性详细规划（修编）局部地段动态维护》主要内容及规划图纸</w:t>
      </w:r>
    </w:p>
    <w:p w14:paraId="3AFF7E8E">
      <w:pPr>
        <w:spacing w:line="600" w:lineRule="exact"/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一、主要内容</w:t>
      </w:r>
    </w:p>
    <w:p w14:paraId="795B3E30">
      <w:pPr>
        <w:spacing w:line="600" w:lineRule="exact"/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1、项目概况</w:t>
      </w:r>
    </w:p>
    <w:p w14:paraId="29AEF894">
      <w:pPr>
        <w:tabs>
          <w:tab w:val="left" w:pos="720"/>
        </w:tabs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项目地块位于福清市东部新城南片区，东至东南大道，南至迎宾大道，西至规划苍霞路，北至规划清正路；周边交通较为便利，距福清站</w:t>
      </w:r>
      <w:r>
        <w:rPr>
          <w:rFonts w:ascii="仿宋_GB2312" w:eastAsia="仿宋_GB2312"/>
          <w:sz w:val="32"/>
          <w:szCs w:val="32"/>
        </w:rPr>
        <w:t>400米、南方医科大学附属福清医院100米，总体区位条件优越，位于福清市城市门户区。</w:t>
      </w:r>
    </w:p>
    <w:p w14:paraId="207AEF8A">
      <w:pPr>
        <w:tabs>
          <w:tab w:val="left" w:pos="720"/>
        </w:tabs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涉及拟调整地块</w:t>
      </w:r>
      <w:r>
        <w:rPr>
          <w:rFonts w:ascii="仿宋_GB2312" w:eastAsia="仿宋_GB2312"/>
          <w:sz w:val="32"/>
          <w:szCs w:val="32"/>
        </w:rPr>
        <w:t>3块，面积总计为</w:t>
      </w:r>
      <w:r>
        <w:rPr>
          <w:rFonts w:hint="eastAsia" w:ascii="仿宋_GB2312" w:eastAsia="仿宋_GB2312"/>
          <w:sz w:val="32"/>
          <w:szCs w:val="32"/>
        </w:rPr>
        <w:t>11.34</w:t>
      </w:r>
      <w:r>
        <w:rPr>
          <w:rFonts w:ascii="仿宋_GB2312" w:eastAsia="仿宋_GB2312"/>
          <w:sz w:val="32"/>
          <w:szCs w:val="32"/>
        </w:rPr>
        <w:t>公顷，涉及原地块编号为：350181-HCZ-C-18-01、350181-HCZ-C-27、350181-HCZ-D-19。</w:t>
      </w:r>
    </w:p>
    <w:p w14:paraId="39E98A38">
      <w:pPr>
        <w:spacing w:line="600" w:lineRule="exact"/>
        <w:ind w:firstLine="643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2</w:t>
      </w:r>
      <w:r>
        <w:rPr>
          <w:rFonts w:hint="eastAsia" w:ascii="仿宋_GB2312" w:eastAsia="仿宋_GB2312"/>
          <w:b/>
          <w:sz w:val="32"/>
          <w:szCs w:val="32"/>
        </w:rPr>
        <w:t>、用地性质调整</w:t>
      </w:r>
    </w:p>
    <w:p w14:paraId="1CA65E7F">
      <w:pPr>
        <w:tabs>
          <w:tab w:val="left" w:pos="720"/>
        </w:tabs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地块用地性质分类和代码参照最新《国土空间调查、规划、用途管制用地用海分类指南》标准进行调整。</w:t>
      </w:r>
    </w:p>
    <w:p w14:paraId="188DBB01">
      <w:pPr>
        <w:tabs>
          <w:tab w:val="left" w:pos="720"/>
        </w:tabs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原控规3</w:t>
      </w:r>
      <w:r>
        <w:rPr>
          <w:rFonts w:ascii="仿宋_GB2312" w:eastAsia="仿宋_GB2312"/>
          <w:sz w:val="32"/>
          <w:szCs w:val="32"/>
        </w:rPr>
        <w:t>50181-HCZ-C-18-01</w:t>
      </w:r>
      <w:r>
        <w:rPr>
          <w:rFonts w:hint="eastAsia" w:ascii="仿宋_GB2312" w:eastAsia="仿宋_GB2312"/>
          <w:sz w:val="32"/>
          <w:szCs w:val="32"/>
        </w:rPr>
        <w:t>（水域）调整划</w:t>
      </w:r>
      <w:r>
        <w:rPr>
          <w:rFonts w:ascii="仿宋_GB2312" w:eastAsia="仿宋_GB2312"/>
          <w:sz w:val="32"/>
          <w:szCs w:val="32"/>
        </w:rPr>
        <w:t>分为</w:t>
      </w: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50181-HCZ-C-18-01（</w:t>
      </w:r>
      <w:r>
        <w:rPr>
          <w:rFonts w:hint="eastAsia" w:ascii="仿宋_GB2312" w:eastAsia="仿宋_GB2312"/>
          <w:sz w:val="32"/>
          <w:szCs w:val="32"/>
        </w:rPr>
        <w:t>河流水面</w:t>
      </w:r>
      <w:r>
        <w:rPr>
          <w:rFonts w:ascii="仿宋_GB2312" w:eastAsia="仿宋_GB2312"/>
          <w:sz w:val="32"/>
          <w:szCs w:val="32"/>
        </w:rPr>
        <w:t>）、</w:t>
      </w: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50181-HCZ-C-18-</w:t>
      </w:r>
      <w:r>
        <w:rPr>
          <w:rFonts w:hint="eastAsia" w:ascii="仿宋_GB2312" w:eastAsia="仿宋_GB2312"/>
          <w:sz w:val="32"/>
          <w:szCs w:val="32"/>
        </w:rPr>
        <w:t>02</w:t>
      </w:r>
      <w:r>
        <w:rPr>
          <w:rFonts w:ascii="仿宋_GB2312" w:eastAsia="仿宋_GB2312"/>
          <w:sz w:val="32"/>
          <w:szCs w:val="32"/>
        </w:rPr>
        <w:t>（</w:t>
      </w:r>
      <w:r>
        <w:rPr>
          <w:rFonts w:hint="eastAsia" w:ascii="仿宋_GB2312" w:eastAsia="仿宋_GB2312"/>
          <w:sz w:val="32"/>
          <w:szCs w:val="32"/>
        </w:rPr>
        <w:t>水工设施用地</w:t>
      </w:r>
      <w:r>
        <w:rPr>
          <w:rFonts w:ascii="仿宋_GB2312" w:eastAsia="仿宋_GB2312"/>
          <w:sz w:val="32"/>
          <w:szCs w:val="32"/>
        </w:rPr>
        <w:t>）</w:t>
      </w:r>
      <w:r>
        <w:rPr>
          <w:rFonts w:hint="eastAsia" w:ascii="仿宋_GB2312" w:eastAsia="仿宋_GB2312"/>
          <w:sz w:val="32"/>
          <w:szCs w:val="32"/>
        </w:rPr>
        <w:t>、3</w:t>
      </w:r>
      <w:r>
        <w:rPr>
          <w:rFonts w:ascii="仿宋_GB2312" w:eastAsia="仿宋_GB2312"/>
          <w:sz w:val="32"/>
          <w:szCs w:val="32"/>
        </w:rPr>
        <w:t>50181-HCZ-C-18-0</w:t>
      </w: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（</w:t>
      </w:r>
      <w:r>
        <w:rPr>
          <w:rFonts w:hint="eastAsia" w:ascii="仿宋_GB2312" w:eastAsia="仿宋_GB2312"/>
          <w:sz w:val="32"/>
          <w:szCs w:val="32"/>
        </w:rPr>
        <w:t>水工设施用地</w:t>
      </w:r>
      <w:r>
        <w:rPr>
          <w:rFonts w:ascii="仿宋_GB2312" w:eastAsia="仿宋_GB2312"/>
          <w:sz w:val="32"/>
          <w:szCs w:val="32"/>
        </w:rPr>
        <w:t>），</w:t>
      </w: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50181-HCZ-C-27</w:t>
      </w:r>
      <w:r>
        <w:rPr>
          <w:rFonts w:hint="eastAsia" w:ascii="仿宋_GB2312" w:eastAsia="仿宋_GB2312"/>
          <w:sz w:val="32"/>
          <w:szCs w:val="32"/>
        </w:rPr>
        <w:t>（水域）调整划</w:t>
      </w:r>
      <w:r>
        <w:rPr>
          <w:rFonts w:ascii="仿宋_GB2312" w:eastAsia="仿宋_GB2312"/>
          <w:sz w:val="32"/>
          <w:szCs w:val="32"/>
        </w:rPr>
        <w:t>分为</w:t>
      </w: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50181-HCZ-C-27</w:t>
      </w:r>
      <w:r>
        <w:rPr>
          <w:rFonts w:hint="eastAsia" w:ascii="仿宋_GB2312" w:eastAsia="仿宋_GB2312"/>
          <w:sz w:val="32"/>
          <w:szCs w:val="32"/>
        </w:rPr>
        <w:t>-01</w:t>
      </w:r>
      <w:r>
        <w:rPr>
          <w:rFonts w:ascii="仿宋_GB2312" w:eastAsia="仿宋_GB2312"/>
          <w:sz w:val="32"/>
          <w:szCs w:val="32"/>
        </w:rPr>
        <w:t>（</w:t>
      </w:r>
      <w:r>
        <w:rPr>
          <w:rFonts w:hint="eastAsia" w:ascii="仿宋_GB2312" w:eastAsia="仿宋_GB2312"/>
          <w:sz w:val="32"/>
          <w:szCs w:val="32"/>
        </w:rPr>
        <w:t>河流水面</w:t>
      </w:r>
      <w:r>
        <w:rPr>
          <w:rFonts w:ascii="仿宋_GB2312" w:eastAsia="仿宋_GB2312"/>
          <w:sz w:val="32"/>
          <w:szCs w:val="32"/>
        </w:rPr>
        <w:t>）、</w:t>
      </w: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50181-HCZ-C-27</w:t>
      </w:r>
      <w:r>
        <w:rPr>
          <w:rFonts w:hint="eastAsia" w:ascii="仿宋_GB2312" w:eastAsia="仿宋_GB2312"/>
          <w:sz w:val="32"/>
          <w:szCs w:val="32"/>
        </w:rPr>
        <w:t>-02</w:t>
      </w:r>
      <w:r>
        <w:rPr>
          <w:rFonts w:ascii="仿宋_GB2312" w:eastAsia="仿宋_GB2312"/>
          <w:sz w:val="32"/>
          <w:szCs w:val="32"/>
        </w:rPr>
        <w:t>（</w:t>
      </w:r>
      <w:r>
        <w:rPr>
          <w:rFonts w:hint="eastAsia" w:ascii="仿宋_GB2312" w:eastAsia="仿宋_GB2312"/>
          <w:sz w:val="32"/>
          <w:szCs w:val="32"/>
        </w:rPr>
        <w:t>水工设施用地</w:t>
      </w:r>
      <w:r>
        <w:rPr>
          <w:rFonts w:ascii="仿宋_GB2312" w:eastAsia="仿宋_GB2312"/>
          <w:sz w:val="32"/>
          <w:szCs w:val="32"/>
        </w:rPr>
        <w:t>）、</w:t>
      </w: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50181-HCZ-C-27</w:t>
      </w:r>
      <w:r>
        <w:rPr>
          <w:rFonts w:hint="eastAsia" w:ascii="仿宋_GB2312" w:eastAsia="仿宋_GB2312"/>
          <w:sz w:val="32"/>
          <w:szCs w:val="32"/>
        </w:rPr>
        <w:t>-03</w:t>
      </w:r>
      <w:r>
        <w:rPr>
          <w:rFonts w:ascii="仿宋_GB2312" w:eastAsia="仿宋_GB2312"/>
          <w:sz w:val="32"/>
          <w:szCs w:val="32"/>
        </w:rPr>
        <w:t>（水工设施用地）</w:t>
      </w:r>
      <w:r>
        <w:rPr>
          <w:rFonts w:hint="eastAsia" w:ascii="仿宋_GB2312" w:eastAsia="仿宋_GB2312"/>
          <w:sz w:val="32"/>
          <w:szCs w:val="32"/>
        </w:rPr>
        <w:t>、3</w:t>
      </w:r>
      <w:r>
        <w:rPr>
          <w:rFonts w:ascii="仿宋_GB2312" w:eastAsia="仿宋_GB2312"/>
          <w:sz w:val="32"/>
          <w:szCs w:val="32"/>
        </w:rPr>
        <w:t>50181-HCZ-C-27</w:t>
      </w:r>
      <w:r>
        <w:rPr>
          <w:rFonts w:hint="eastAsia" w:ascii="仿宋_GB2312" w:eastAsia="仿宋_GB2312"/>
          <w:sz w:val="32"/>
          <w:szCs w:val="32"/>
        </w:rPr>
        <w:t>-04</w:t>
      </w:r>
      <w:r>
        <w:rPr>
          <w:rFonts w:ascii="仿宋_GB2312" w:eastAsia="仿宋_GB2312"/>
          <w:sz w:val="32"/>
          <w:szCs w:val="32"/>
        </w:rPr>
        <w:t>（水工设施用地），</w:t>
      </w: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50181-HCZ-D-19</w:t>
      </w:r>
      <w:r>
        <w:rPr>
          <w:rFonts w:hint="eastAsia" w:ascii="仿宋_GB2312" w:eastAsia="仿宋_GB2312"/>
          <w:sz w:val="32"/>
          <w:szCs w:val="32"/>
        </w:rPr>
        <w:t>（一类工业用地）调整为商住混合用地</w:t>
      </w:r>
      <w:r>
        <w:rPr>
          <w:rFonts w:ascii="仿宋_GB2312" w:eastAsia="仿宋_GB2312"/>
          <w:sz w:val="32"/>
          <w:szCs w:val="32"/>
        </w:rPr>
        <w:t>。</w:t>
      </w:r>
    </w:p>
    <w:p w14:paraId="6D43485D">
      <w:pPr>
        <w:tabs>
          <w:tab w:val="left" w:pos="720"/>
        </w:tabs>
        <w:spacing w:line="600" w:lineRule="exact"/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b/>
          <w:sz w:val="32"/>
          <w:szCs w:val="32"/>
        </w:rPr>
        <w:t>、功能调整合理性</w:t>
      </w:r>
    </w:p>
    <w:p w14:paraId="3D72479C">
      <w:pPr>
        <w:tabs>
          <w:tab w:val="left" w:pos="720"/>
        </w:tabs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拟调整地块位于福清市东部新城南片区，东至东南大道，南至迎宾大道，西至规划苍霞路，北至规划清正路，周边规划以商住混合用地、一类工业用地为主，现状周边建有福清火车站、南方医科大学附属福清医院等各类设施。一方面，调整后于站前片区开发商住用地，有利于集聚站前片区人气，提升城市门户空间形象；另一方面，调整后落实苍霞河、南窗湖防洪排涝工程，有利于提升该地段水安全保障能力。</w:t>
      </w:r>
    </w:p>
    <w:p w14:paraId="5C0BF757">
      <w:pPr>
        <w:tabs>
          <w:tab w:val="left" w:pos="720"/>
        </w:tabs>
        <w:spacing w:line="600" w:lineRule="exact"/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/>
          <w:b/>
          <w:sz w:val="32"/>
          <w:szCs w:val="32"/>
        </w:rPr>
        <w:t>、开发强度合理性</w:t>
      </w:r>
    </w:p>
    <w:p w14:paraId="0A8B4084">
      <w:pPr>
        <w:tabs>
          <w:tab w:val="left" w:pos="720"/>
        </w:tabs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用地指标符合《福建省城市规划管理技术规定》《福州市国土空间规划管理技术规定（试行）》等要求。</w:t>
      </w:r>
    </w:p>
    <w:p w14:paraId="43FA64F4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二、规划图纸</w:t>
      </w:r>
    </w:p>
    <w:p w14:paraId="6AF64D66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1、调整土地使用规划图</w:t>
      </w:r>
    </w:p>
    <w:p w14:paraId="324FF31C">
      <w:pPr>
        <w:adjustRightInd w:val="0"/>
        <w:snapToGrid w:val="0"/>
        <w:jc w:val="center"/>
        <w:rPr>
          <w:rFonts w:ascii="仿宋_GB2312" w:eastAsia="仿宋_GB2312"/>
          <w:b/>
          <w:sz w:val="32"/>
          <w:szCs w:val="32"/>
        </w:rPr>
      </w:pPr>
      <w:r>
        <w:drawing>
          <wp:inline distT="0" distB="0" distL="0" distR="0">
            <wp:extent cx="5278120" cy="34169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1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6285B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2、地块图则</w:t>
      </w:r>
    </w:p>
    <w:p w14:paraId="429B38D2">
      <w:pPr>
        <w:adjustRightInd w:val="0"/>
        <w:snapToGrid w:val="0"/>
        <w:jc w:val="center"/>
      </w:pPr>
      <w:bookmarkStart w:id="0" w:name="_GoBack"/>
      <w:r>
        <w:drawing>
          <wp:inline distT="0" distB="0" distL="0" distR="0">
            <wp:extent cx="5278120" cy="3731895"/>
            <wp:effectExtent l="0" t="0" r="0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footerReference r:id="rId3" w:type="default"/>
      <w:footerReference r:id="rId4" w:type="even"/>
      <w:pgSz w:w="11906" w:h="16838"/>
      <w:pgMar w:top="1440" w:right="1797" w:bottom="1440" w:left="179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64171724"/>
      <w:docPartObj>
        <w:docPartGallery w:val="AutoText"/>
      </w:docPartObj>
    </w:sdtPr>
    <w:sdtEndPr>
      <w:rPr>
        <w:rFonts w:ascii="宋体" w:hAnsi="宋体"/>
        <w:sz w:val="28"/>
        <w:szCs w:val="28"/>
      </w:rPr>
    </w:sdtEndPr>
    <w:sdtContent>
      <w:p w14:paraId="3C9C6F7A">
        <w:pPr>
          <w:pStyle w:val="2"/>
          <w:jc w:val="right"/>
          <w:rPr>
            <w:rFonts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-</w:t>
        </w:r>
        <w:r>
          <w:rPr>
            <w:rFonts w:ascii="宋体" w:hAnsi="宋体"/>
            <w:sz w:val="28"/>
            <w:szCs w:val="28"/>
          </w:rPr>
          <w:t xml:space="preserve"> 3 -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31875208"/>
      <w:docPartObj>
        <w:docPartGallery w:val="AutoText"/>
      </w:docPartObj>
    </w:sdtPr>
    <w:sdtEndPr>
      <w:rPr>
        <w:rFonts w:ascii="宋体" w:hAnsi="宋体"/>
        <w:sz w:val="28"/>
        <w:szCs w:val="28"/>
      </w:rPr>
    </w:sdtEndPr>
    <w:sdtContent>
      <w:p w14:paraId="129602A7">
        <w:pPr>
          <w:pStyle w:val="2"/>
          <w:rPr>
            <w:rFonts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-</w:t>
        </w:r>
        <w:r>
          <w:rPr>
            <w:rFonts w:ascii="宋体" w:hAnsi="宋体"/>
            <w:sz w:val="28"/>
            <w:szCs w:val="28"/>
          </w:rPr>
          <w:t xml:space="preserve"> 2 -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3F4"/>
    <w:rsid w:val="0013616A"/>
    <w:rsid w:val="001E30E9"/>
    <w:rsid w:val="002E0E22"/>
    <w:rsid w:val="004F6B46"/>
    <w:rsid w:val="005272BE"/>
    <w:rsid w:val="005B09C1"/>
    <w:rsid w:val="005E4859"/>
    <w:rsid w:val="007C7CC0"/>
    <w:rsid w:val="008403F0"/>
    <w:rsid w:val="008B67A0"/>
    <w:rsid w:val="009C690E"/>
    <w:rsid w:val="00A013F4"/>
    <w:rsid w:val="00BD6158"/>
    <w:rsid w:val="00C6579A"/>
    <w:rsid w:val="00DB043F"/>
    <w:rsid w:val="00EE5A94"/>
    <w:rsid w:val="00F82C4B"/>
    <w:rsid w:val="43EF0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page number"/>
    <w:basedOn w:val="6"/>
    <w:qFormat/>
    <w:uiPriority w:val="0"/>
  </w:style>
  <w:style w:type="character" w:customStyle="1" w:styleId="8">
    <w:name w:val="页脚 字符"/>
    <w:basedOn w:val="6"/>
    <w:link w:val="2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眉 字符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3C78CE-4BA3-4764-9C9A-8C624E3D762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886</Words>
  <Characters>1393</Characters>
  <Lines>10</Lines>
  <Paragraphs>3</Paragraphs>
  <TotalTime>68</TotalTime>
  <ScaleCrop>false</ScaleCrop>
  <LinksUpToDate>false</LinksUpToDate>
  <CharactersWithSpaces>1393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2024-08-07T01:22:00Z</dcterms:created>
  <dc:creator>Administrator</dc:creator>
  <cp:lastModifiedBy>高兴宁</cp:lastModifiedBy>
  <dcterms:modified xsi:type="dcterms:W3CDTF">2025-03-12T03:08:45Z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eyJoZGlkIjoiNzQ0Mjk0NThmZDNjMjQ2YjlhMzE3Njk0MGY0ODFmNjQiLCJ1c2VySWQiOiIzMzY3NjI0NzYifQ==</vt:lpwstr>
  </property>
  <property fmtid="{D5CDD505-2E9C-101B-9397-08002B2CF9AE}" pid="3" name="KSOProductBuildVer">
    <vt:lpwstr>2052-12.1.0.20305</vt:lpwstr>
  </property>
  <property fmtid="{D5CDD505-2E9C-101B-9397-08002B2CF9AE}" pid="4" name="ICV">
    <vt:lpwstr>8FD87E68969449DBBF4728FD8765550E_12</vt:lpwstr>
  </property>
</Properties>
</file>