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0768C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bookmarkStart w:id="0" w:name="_GoBack"/>
      <w:bookmarkEnd w:id="0"/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附件：《福清市350181-03-D、E控制性详细规划修编福清市原创门业项目局部地段动态维护报告》</w:t>
      </w:r>
    </w:p>
    <w:p w14:paraId="20B6FBC7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</w:p>
    <w:p w14:paraId="63948B81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54B8C08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3AFFA10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中心城区宏路南片区的350181-03-D基本单元，距离福清西站4.2公里，北至创信二手市场仓库、南至清华路，西至福建万达物流有限公司、东至关溪路，周围交通区位条件较为便利，是福清市融侨经济技术开发区的重要组成部分。本项目维护地块均位于福清市中心城区基本单元350181-03-D、350181-03-E控制性详细规划修编规划范围内。</w:t>
      </w:r>
    </w:p>
    <w:p w14:paraId="21ED5C9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、用地性质调整及地块控制指标调整</w:t>
      </w:r>
    </w:p>
    <w:p w14:paraId="21001BC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地块用地性质分类和代码均采用国标《国土空间调查、规划、用途管制用地用海分类指南（2023.11）》，涉及《福清市东部新城南片区控制性详细规划（修编）》中350181-03-D</w:t>
      </w:r>
      <w:r>
        <w:rPr>
          <w:rFonts w:ascii="仿宋_GB2312" w:eastAsia="仿宋_GB2312"/>
          <w:sz w:val="32"/>
          <w:szCs w:val="32"/>
        </w:rPr>
        <w:t>-40</w:t>
      </w:r>
      <w:r>
        <w:rPr>
          <w:rFonts w:hint="eastAsia" w:ascii="仿宋_GB2312" w:eastAsia="仿宋_GB2312"/>
          <w:sz w:val="32"/>
          <w:szCs w:val="32"/>
        </w:rPr>
        <w:t>地块，地块动态维护前后调整具体情况见下表：</w:t>
      </w:r>
    </w:p>
    <w:p w14:paraId="7C58628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.1</w:t>
      </w:r>
      <w:r>
        <w:rPr>
          <w:rFonts w:hint="eastAsia" w:ascii="仿宋_GB2312" w:eastAsia="仿宋_GB2312"/>
          <w:sz w:val="32"/>
          <w:szCs w:val="32"/>
        </w:rPr>
        <w:t>各地块动态维护前原控规用地性质及控制指标表</w:t>
      </w:r>
    </w:p>
    <w:tbl>
      <w:tblPr>
        <w:tblStyle w:val="9"/>
        <w:tblW w:w="863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718"/>
        <w:gridCol w:w="1644"/>
        <w:gridCol w:w="1082"/>
        <w:gridCol w:w="827"/>
        <w:gridCol w:w="1132"/>
        <w:gridCol w:w="976"/>
        <w:gridCol w:w="1031"/>
      </w:tblGrid>
      <w:tr w14:paraId="615C4D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016BD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地块编号</w:t>
            </w:r>
          </w:p>
        </w:tc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52E40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用地性质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BFBB5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性质名称</w:t>
            </w:r>
          </w:p>
        </w:tc>
        <w:tc>
          <w:tcPr>
            <w:tcW w:w="1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419E8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地块面积（公顷）</w:t>
            </w:r>
          </w:p>
        </w:tc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2D13E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容积率</w:t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209F3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建筑密度（%）</w:t>
            </w: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45B43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绿地率（%）</w:t>
            </w:r>
          </w:p>
        </w:tc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DE4B8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建筑限高（m）</w:t>
            </w:r>
          </w:p>
        </w:tc>
      </w:tr>
      <w:tr w14:paraId="4047FB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2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2D1F1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03-D-40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CD256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M2</w:t>
            </w:r>
          </w:p>
        </w:tc>
        <w:tc>
          <w:tcPr>
            <w:tcW w:w="16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DE12A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二类工业用地</w:t>
            </w:r>
          </w:p>
        </w:tc>
        <w:tc>
          <w:tcPr>
            <w:tcW w:w="1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403BE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1.34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050AF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1-3</w:t>
            </w:r>
          </w:p>
        </w:tc>
        <w:tc>
          <w:tcPr>
            <w:tcW w:w="11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44069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≥30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7D921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10-20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1B0C9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theme="minorBidi"/>
                <w:color w:val="000000"/>
                <w:kern w:val="24"/>
              </w:rPr>
              <w:t>24</w:t>
            </w:r>
          </w:p>
        </w:tc>
      </w:tr>
    </w:tbl>
    <w:p w14:paraId="5CCAC7D3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.2</w:t>
      </w:r>
      <w:r>
        <w:rPr>
          <w:rFonts w:hint="eastAsia" w:ascii="仿宋_GB2312" w:eastAsia="仿宋_GB2312"/>
          <w:sz w:val="32"/>
          <w:szCs w:val="32"/>
        </w:rPr>
        <w:t>各地块动态维护后用地性质及控制指标表</w:t>
      </w:r>
    </w:p>
    <w:tbl>
      <w:tblPr>
        <w:tblStyle w:val="9"/>
        <w:tblW w:w="864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991"/>
        <w:gridCol w:w="1638"/>
        <w:gridCol w:w="1114"/>
        <w:gridCol w:w="755"/>
        <w:gridCol w:w="816"/>
        <w:gridCol w:w="840"/>
        <w:gridCol w:w="972"/>
      </w:tblGrid>
      <w:tr w14:paraId="09E5FD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9225A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地块编号</w:t>
            </w:r>
          </w:p>
        </w:tc>
        <w:tc>
          <w:tcPr>
            <w:tcW w:w="9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7BE79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用地性质</w:t>
            </w:r>
          </w:p>
        </w:tc>
        <w:tc>
          <w:tcPr>
            <w:tcW w:w="16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2F164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性质名称</w:t>
            </w:r>
          </w:p>
        </w:tc>
        <w:tc>
          <w:tcPr>
            <w:tcW w:w="11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33D1B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地块面积（公顷）</w:t>
            </w:r>
          </w:p>
        </w:tc>
        <w:tc>
          <w:tcPr>
            <w:tcW w:w="7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BFBFD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容积率</w:t>
            </w:r>
          </w:p>
        </w:tc>
        <w:tc>
          <w:tcPr>
            <w:tcW w:w="8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F082E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建筑密度（%）</w:t>
            </w:r>
          </w:p>
        </w:tc>
        <w:tc>
          <w:tcPr>
            <w:tcW w:w="8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9C83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绿地率（%）</w:t>
            </w:r>
          </w:p>
        </w:tc>
        <w:tc>
          <w:tcPr>
            <w:tcW w:w="9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61239">
            <w:pPr>
              <w:widowControl/>
              <w:spacing w:line="300" w:lineRule="exact"/>
              <w:jc w:val="center"/>
              <w:rPr>
                <w:rFonts w:ascii="等线" w:hAnsi="等线" w:eastAsia="等线" w:cs="宋体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kern w:val="0"/>
                <w:sz w:val="24"/>
              </w:rPr>
              <w:t>建筑限高（m）</w:t>
            </w:r>
          </w:p>
        </w:tc>
      </w:tr>
      <w:tr w14:paraId="752B9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0A92F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9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7475F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16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9AC13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11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B4753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7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BE1BD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8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6FFE68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8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FB82B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  <w:tc>
          <w:tcPr>
            <w:tcW w:w="9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9220A">
            <w:pPr>
              <w:widowControl/>
              <w:spacing w:line="300" w:lineRule="exact"/>
              <w:jc w:val="left"/>
              <w:rPr>
                <w:rFonts w:ascii="等线" w:hAnsi="等线" w:eastAsia="等线" w:cs="宋体"/>
                <w:kern w:val="0"/>
                <w:sz w:val="24"/>
              </w:rPr>
            </w:pPr>
          </w:p>
        </w:tc>
      </w:tr>
      <w:tr w14:paraId="1DA0C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36EAF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03-D-40-01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9F93B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0901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B151E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商业用地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5DAB8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0.48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48EE0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9EC88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≤50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41059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≥25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3F23D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24</w:t>
            </w:r>
          </w:p>
        </w:tc>
      </w:tr>
      <w:tr w14:paraId="13B275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43BC2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03-D-40-02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556BE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100102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DABFD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二类工业用地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BD124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0.86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32FD1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E2152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≥40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09B4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≤20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DF9BC">
            <w:pPr>
              <w:widowControl/>
              <w:spacing w:line="300" w:lineRule="exact"/>
              <w:jc w:val="center"/>
              <w:rPr>
                <w:rFonts w:ascii="微软雅黑" w:hAnsi="微软雅黑" w:eastAsia="微软雅黑" w:cs="Arial"/>
                <w:kern w:val="24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kern w:val="24"/>
              </w:rPr>
              <w:t>24</w:t>
            </w:r>
          </w:p>
        </w:tc>
      </w:tr>
    </w:tbl>
    <w:p w14:paraId="650E401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hint="eastAsia" w:ascii="仿宋_GB2312" w:eastAsia="仿宋_GB2312"/>
          <w:b/>
          <w:sz w:val="32"/>
          <w:szCs w:val="32"/>
        </w:rPr>
        <w:t>、功能合理性</w:t>
      </w:r>
    </w:p>
    <w:p w14:paraId="5B95BE61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契合产城融合定位。原控规把福清融侨南片区设为产城融合新中心。当下片区产业发展迅猛，企业与员工对商业服务需求大增。将部分工业用地改为商业用地，可引入餐饮、零售等业态，为产业配套，方便员工生活，节省通勤成本，吸引人才，助推产业发展，深度融合产业与城市功能。</w:t>
      </w:r>
    </w:p>
    <w:p w14:paraId="5B44AC7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满足活力城西发展需求。作为活力城西新引擎，片区需多元功能。增加商业用地，能打造小型商业中心、特色街区，汇聚人流、物流、信息流，创造就业，吸引消费与就业人群，提升区域活跃度。商业街区举办的文化艺术活动，能成为新活力点，带动城西发展。故具有功能调整合理性。</w:t>
      </w:r>
    </w:p>
    <w:p w14:paraId="011C6052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5、开发强度合理性</w:t>
      </w:r>
    </w:p>
    <w:p w14:paraId="444E2A3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参照2017年2月颁布的《福建省城市规划管理技术规定》及2016年5月颁布的《福州市城市规划管理技术规定》。动态维护后的：03-D-40-02，涉及地块分割、用地面积变化，用地性质由城市建设用地分类二类工业用地（M2）转变为用地用海分类二类工业用地（100102）。开发强度指标不变。        03-D-40-01涉及地块分割，用地性质变化和开发强度指标变更；调整为商业用地（0901），开发强度指标符合省标规定。所以本次动态维护开发强度具有指标合理性。</w:t>
      </w:r>
    </w:p>
    <w:p w14:paraId="75A46B66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28D5B1CB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25E83968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调整土地使用规划图：</w:t>
      </w:r>
    </w:p>
    <w:p w14:paraId="70BE2448">
      <w:pPr>
        <w:jc w:val="center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原控规方案</w:t>
      </w:r>
    </w:p>
    <w:p w14:paraId="67F12401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 </w:t>
      </w:r>
      <w:r>
        <w:rPr>
          <w:rFonts w:ascii="仿宋_GB2312" w:eastAsia="仿宋_GB2312"/>
          <w:b/>
          <w:sz w:val="32"/>
          <w:szCs w:val="32"/>
        </w:rPr>
        <w:t xml:space="preserve"> </w:t>
      </w: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4666615" cy="3444240"/>
            <wp:effectExtent l="0" t="0" r="63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233" cy="34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1786">
      <w:pPr>
        <w:jc w:val="center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维护后方案</w:t>
      </w:r>
    </w:p>
    <w:p w14:paraId="62C31E36">
      <w:pPr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749800" cy="3499485"/>
            <wp:effectExtent l="0" t="0" r="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900" cy="35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C25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地块图则</w:t>
      </w:r>
    </w:p>
    <w:p w14:paraId="3926443F">
      <w:pPr>
        <w:ind w:left="-424" w:leftChars="-202"/>
      </w:pPr>
      <w:r>
        <w:drawing>
          <wp:inline distT="0" distB="0" distL="0" distR="0">
            <wp:extent cx="5795645" cy="409765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81" cy="41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7F32">
      <w:pPr>
        <w:ind w:left="-424" w:leftChars="-202"/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05B7C">
    <w:pPr>
      <w:pStyle w:val="5"/>
      <w:framePr w:w="1099" w:wrap="around" w:vAnchor="text" w:hAnchor="page" w:x="8998" w:y="-2"/>
      <w:jc w:val="both"/>
      <w:rPr>
        <w:rStyle w:val="11"/>
        <w:rFonts w:ascii="宋体" w:hAnsi="宋体"/>
        <w:sz w:val="28"/>
        <w:szCs w:val="28"/>
      </w:rPr>
    </w:pPr>
    <w:r>
      <w:rPr>
        <w:rStyle w:val="11"/>
        <w:rFonts w:hint="eastAsia" w:ascii="宋体" w:hAnsi="宋体"/>
        <w:sz w:val="28"/>
        <w:szCs w:val="28"/>
      </w:rPr>
      <w:fldChar w:fldCharType="begin"/>
    </w:r>
    <w:r>
      <w:rPr>
        <w:rStyle w:val="11"/>
        <w:rFonts w:hint="eastAsia" w:ascii="宋体" w:hAnsi="宋体"/>
        <w:sz w:val="28"/>
        <w:szCs w:val="28"/>
      </w:rPr>
      <w:instrText xml:space="preserve">PAGE  </w:instrText>
    </w:r>
    <w:r>
      <w:rPr>
        <w:rStyle w:val="11"/>
        <w:rFonts w:hint="eastAsia"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- 5 -</w:t>
    </w:r>
    <w:r>
      <w:rPr>
        <w:rStyle w:val="11"/>
        <w:rFonts w:hint="eastAsia" w:ascii="宋体" w:hAnsi="宋体"/>
        <w:sz w:val="28"/>
        <w:szCs w:val="28"/>
      </w:rPr>
      <w:fldChar w:fldCharType="end"/>
    </w:r>
    <w:r>
      <w:rPr>
        <w:rStyle w:val="11"/>
        <w:rFonts w:hint="eastAsia" w:ascii="宋体" w:hAnsi="宋体"/>
        <w:sz w:val="28"/>
        <w:szCs w:val="28"/>
      </w:rPr>
      <w:t xml:space="preserve">       </w:t>
    </w:r>
  </w:p>
  <w:p w14:paraId="2562823C">
    <w:pPr>
      <w:pStyle w:val="5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2988">
    <w:pPr>
      <w:pStyle w:val="5"/>
      <w:framePr w:wrap="around" w:vAnchor="text" w:hAnchor="margin" w:xAlign="outside" w:y="1"/>
      <w:ind w:firstLine="280"/>
      <w:rPr>
        <w:rStyle w:val="11"/>
        <w:rFonts w:ascii="宋体" w:hAnsi="宋体"/>
        <w:sz w:val="28"/>
        <w:szCs w:val="28"/>
      </w:rPr>
    </w:pPr>
    <w:r>
      <w:rPr>
        <w:rStyle w:val="11"/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Style w:val="11"/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- 6 -</w:t>
    </w:r>
    <w:r>
      <w:rPr>
        <w:rStyle w:val="11"/>
        <w:rFonts w:ascii="宋体" w:hAnsi="宋体"/>
        <w:sz w:val="28"/>
        <w:szCs w:val="28"/>
      </w:rPr>
      <w:fldChar w:fldCharType="end"/>
    </w:r>
  </w:p>
  <w:p w14:paraId="27F92B1D"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2551A"/>
    <w:rsid w:val="000421B4"/>
    <w:rsid w:val="00047E3A"/>
    <w:rsid w:val="000537E3"/>
    <w:rsid w:val="00062C12"/>
    <w:rsid w:val="00064D06"/>
    <w:rsid w:val="000664D8"/>
    <w:rsid w:val="00073B6C"/>
    <w:rsid w:val="00091A7A"/>
    <w:rsid w:val="00097059"/>
    <w:rsid w:val="000B01E1"/>
    <w:rsid w:val="000B4162"/>
    <w:rsid w:val="000D29FD"/>
    <w:rsid w:val="000D2B0E"/>
    <w:rsid w:val="000E54FA"/>
    <w:rsid w:val="00141116"/>
    <w:rsid w:val="001A46DA"/>
    <w:rsid w:val="001B486E"/>
    <w:rsid w:val="001C77A2"/>
    <w:rsid w:val="001F35C1"/>
    <w:rsid w:val="0023078F"/>
    <w:rsid w:val="00236962"/>
    <w:rsid w:val="00254B26"/>
    <w:rsid w:val="00260A3C"/>
    <w:rsid w:val="00287134"/>
    <w:rsid w:val="002A09E9"/>
    <w:rsid w:val="002A4041"/>
    <w:rsid w:val="002A4290"/>
    <w:rsid w:val="002B780A"/>
    <w:rsid w:val="002C0ABE"/>
    <w:rsid w:val="002D6FF2"/>
    <w:rsid w:val="002F24E1"/>
    <w:rsid w:val="00322131"/>
    <w:rsid w:val="0034261F"/>
    <w:rsid w:val="003706BC"/>
    <w:rsid w:val="0037684B"/>
    <w:rsid w:val="00385BAA"/>
    <w:rsid w:val="003964F3"/>
    <w:rsid w:val="003A2B12"/>
    <w:rsid w:val="003D32E4"/>
    <w:rsid w:val="003E0146"/>
    <w:rsid w:val="004112DF"/>
    <w:rsid w:val="004122BF"/>
    <w:rsid w:val="00431C77"/>
    <w:rsid w:val="00473C37"/>
    <w:rsid w:val="004B33F4"/>
    <w:rsid w:val="004D0F4A"/>
    <w:rsid w:val="005200DC"/>
    <w:rsid w:val="00536D41"/>
    <w:rsid w:val="0054075F"/>
    <w:rsid w:val="00552B5F"/>
    <w:rsid w:val="00555FD7"/>
    <w:rsid w:val="00583C5D"/>
    <w:rsid w:val="005957BF"/>
    <w:rsid w:val="005A2F73"/>
    <w:rsid w:val="005B25DE"/>
    <w:rsid w:val="005B7451"/>
    <w:rsid w:val="005E139E"/>
    <w:rsid w:val="006124E4"/>
    <w:rsid w:val="00625601"/>
    <w:rsid w:val="00626E3B"/>
    <w:rsid w:val="006530C0"/>
    <w:rsid w:val="006A12F4"/>
    <w:rsid w:val="006B42E0"/>
    <w:rsid w:val="006D31E2"/>
    <w:rsid w:val="0070633F"/>
    <w:rsid w:val="0074037F"/>
    <w:rsid w:val="00755ADF"/>
    <w:rsid w:val="007A62C6"/>
    <w:rsid w:val="007D6265"/>
    <w:rsid w:val="007E00DF"/>
    <w:rsid w:val="00800999"/>
    <w:rsid w:val="00802676"/>
    <w:rsid w:val="008849E9"/>
    <w:rsid w:val="008929B2"/>
    <w:rsid w:val="00897DBD"/>
    <w:rsid w:val="008A2383"/>
    <w:rsid w:val="008B3914"/>
    <w:rsid w:val="008B7A9E"/>
    <w:rsid w:val="008C7F91"/>
    <w:rsid w:val="008E547C"/>
    <w:rsid w:val="009131FC"/>
    <w:rsid w:val="009B26C3"/>
    <w:rsid w:val="009B7559"/>
    <w:rsid w:val="009D1F86"/>
    <w:rsid w:val="009E5487"/>
    <w:rsid w:val="00A54D28"/>
    <w:rsid w:val="00A628D0"/>
    <w:rsid w:val="00A72F4D"/>
    <w:rsid w:val="00A9519E"/>
    <w:rsid w:val="00AB3857"/>
    <w:rsid w:val="00AB5BF9"/>
    <w:rsid w:val="00AD0E10"/>
    <w:rsid w:val="00AF7D22"/>
    <w:rsid w:val="00B013C5"/>
    <w:rsid w:val="00B0542F"/>
    <w:rsid w:val="00B25013"/>
    <w:rsid w:val="00B36D4B"/>
    <w:rsid w:val="00B42111"/>
    <w:rsid w:val="00B6022A"/>
    <w:rsid w:val="00B65D99"/>
    <w:rsid w:val="00B85941"/>
    <w:rsid w:val="00BA590E"/>
    <w:rsid w:val="00BC1D13"/>
    <w:rsid w:val="00BD27C5"/>
    <w:rsid w:val="00BD7F5D"/>
    <w:rsid w:val="00BF6BF9"/>
    <w:rsid w:val="00C4015A"/>
    <w:rsid w:val="00C433E2"/>
    <w:rsid w:val="00C4434D"/>
    <w:rsid w:val="00C46B34"/>
    <w:rsid w:val="00C72855"/>
    <w:rsid w:val="00C873C8"/>
    <w:rsid w:val="00CB0C8D"/>
    <w:rsid w:val="00CB0EB5"/>
    <w:rsid w:val="00CC4CF7"/>
    <w:rsid w:val="00CC5CF9"/>
    <w:rsid w:val="00CD5320"/>
    <w:rsid w:val="00CD7E3F"/>
    <w:rsid w:val="00CF3413"/>
    <w:rsid w:val="00D30CB3"/>
    <w:rsid w:val="00D32AAA"/>
    <w:rsid w:val="00D451AF"/>
    <w:rsid w:val="00D74A06"/>
    <w:rsid w:val="00DA2201"/>
    <w:rsid w:val="00DD4A5F"/>
    <w:rsid w:val="00EA01B9"/>
    <w:rsid w:val="00EC2C7E"/>
    <w:rsid w:val="00EE0F21"/>
    <w:rsid w:val="00EF5C94"/>
    <w:rsid w:val="00F017D5"/>
    <w:rsid w:val="00F14A21"/>
    <w:rsid w:val="00F204C5"/>
    <w:rsid w:val="00F24344"/>
    <w:rsid w:val="00F91251"/>
    <w:rsid w:val="00F91DC4"/>
    <w:rsid w:val="00FF4462"/>
    <w:rsid w:val="027470C3"/>
    <w:rsid w:val="17CA350F"/>
    <w:rsid w:val="1ACE10C4"/>
    <w:rsid w:val="461313D5"/>
    <w:rsid w:val="475B0A00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uiPriority w:val="0"/>
    <w:pPr>
      <w:jc w:val="left"/>
    </w:pPr>
  </w:style>
  <w:style w:type="paragraph" w:styleId="3">
    <w:name w:val="Date"/>
    <w:basedOn w:val="1"/>
    <w:next w:val="1"/>
    <w:qFormat/>
    <w:uiPriority w:val="0"/>
    <w:pPr>
      <w:ind w:left="1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3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8">
    <w:name w:val="annotation subject"/>
    <w:basedOn w:val="2"/>
    <w:next w:val="2"/>
    <w:link w:val="16"/>
    <w:semiHidden/>
    <w:unhideWhenUsed/>
    <w:qFormat/>
    <w:uiPriority w:val="0"/>
    <w:rPr>
      <w:b/>
      <w:bCs/>
    </w:rPr>
  </w:style>
  <w:style w:type="character" w:styleId="11">
    <w:name w:val="page number"/>
    <w:basedOn w:val="10"/>
    <w:qFormat/>
    <w:uiPriority w:val="0"/>
  </w:style>
  <w:style w:type="character" w:styleId="12">
    <w:name w:val="annotation reference"/>
    <w:basedOn w:val="10"/>
    <w:uiPriority w:val="0"/>
    <w:rPr>
      <w:sz w:val="21"/>
      <w:szCs w:val="21"/>
    </w:rPr>
  </w:style>
  <w:style w:type="character" w:customStyle="1" w:styleId="13">
    <w:name w:val="普通(网站) 字符"/>
    <w:link w:val="7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4">
    <w:name w:val="批注框文本 字符"/>
    <w:basedOn w:val="10"/>
    <w:link w:val="4"/>
    <w:qFormat/>
    <w:uiPriority w:val="0"/>
    <w:rPr>
      <w:kern w:val="2"/>
      <w:sz w:val="18"/>
      <w:szCs w:val="18"/>
    </w:rPr>
  </w:style>
  <w:style w:type="character" w:customStyle="1" w:styleId="15">
    <w:name w:val="批注文字 字符"/>
    <w:basedOn w:val="10"/>
    <w:link w:val="2"/>
    <w:qFormat/>
    <w:uiPriority w:val="0"/>
    <w:rPr>
      <w:kern w:val="2"/>
      <w:sz w:val="21"/>
      <w:szCs w:val="24"/>
    </w:rPr>
  </w:style>
  <w:style w:type="character" w:customStyle="1" w:styleId="16">
    <w:name w:val="批注主题 字符"/>
    <w:basedOn w:val="15"/>
    <w:link w:val="8"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1382</Words>
  <Characters>1587</Characters>
  <Lines>12</Lines>
  <Paragraphs>3</Paragraphs>
  <TotalTime>14</TotalTime>
  <ScaleCrop>false</ScaleCrop>
  <LinksUpToDate>false</LinksUpToDate>
  <CharactersWithSpaces>1601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2025-03-06T10:26:00Z</dcterms:created>
  <dc:creator>User</dc:creator>
  <cp:lastModifiedBy>YYJ</cp:lastModifiedBy>
  <cp:lastPrinted>2018-11-14T01:23:00Z</cp:lastPrinted>
  <dcterms:modified xsi:type="dcterms:W3CDTF">2025-03-11T01:51:27Z</dcterms:modified>
  <dc:title>融规 [2012] 253号                  签发人：郑卫东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4A8951111F5844458472CE66EFEFA488_13</vt:lpwstr>
  </property>
  <property fmtid="{D5CDD505-2E9C-101B-9397-08002B2CF9AE}" pid="4" name="KSOTemplateDocerSaveRecord">
    <vt:lpwstr>eyJoZGlkIjoiNjYxYjE5YTBiZjczNTlkZGJkYTZkMDA0Y2E5YzA5MTMiLCJ1c2VySWQiOiI1NjQ0NTcxOTAifQ==</vt:lpwstr>
  </property>
</Properties>
</file>