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D7D229">
      <w:pPr>
        <w:spacing w:line="540" w:lineRule="auto"/>
        <w:rPr>
          <w:rFonts w:ascii="仿宋_GB2312" w:hAnsi="仿宋" w:eastAsia="仿宋_GB2312"/>
          <w:b/>
          <w:sz w:val="32"/>
          <w:szCs w:val="32"/>
        </w:rPr>
      </w:pPr>
      <w:bookmarkStart w:id="0" w:name="_GoBack"/>
      <w:r>
        <w:rPr>
          <w:rFonts w:hint="eastAsia" w:ascii="仿宋_GB2312" w:hAnsi="等线" w:eastAsia="仿宋_GB2312"/>
          <w:b/>
          <w:sz w:val="32"/>
          <w:szCs w:val="32"/>
        </w:rPr>
        <w:t>附件</w:t>
      </w:r>
      <w:r>
        <w:rPr>
          <w:rFonts w:hint="eastAsia" w:ascii="仿宋_GB2312" w:hAnsi="等线" w:eastAsia="仿宋_GB2312"/>
          <w:b/>
          <w:sz w:val="32"/>
          <w:szCs w:val="32"/>
          <w:lang w:eastAsia="zh-CN"/>
        </w:rPr>
        <w:t>：</w:t>
      </w:r>
      <w:r>
        <w:rPr>
          <w:rFonts w:hint="eastAsia" w:ascii="仿宋_GB2312" w:hAnsi="仿宋" w:eastAsia="仿宋_GB2312"/>
          <w:b/>
          <w:sz w:val="32"/>
          <w:szCs w:val="32"/>
        </w:rPr>
        <w:t>《城关公交枢纽中心控制性详细规划动态维护》</w:t>
      </w:r>
    </w:p>
    <w:bookmarkEnd w:id="0"/>
    <w:p w14:paraId="629034FC">
      <w:pPr>
        <w:spacing w:line="540" w:lineRule="auto"/>
        <w:jc w:val="center"/>
        <w:rPr>
          <w:rFonts w:ascii="仿宋_GB2312" w:hAnsi="仿宋" w:eastAsia="仿宋_GB2312"/>
          <w:b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主要内容及规划图纸</w:t>
      </w:r>
    </w:p>
    <w:p w14:paraId="514D97DD">
      <w:pPr>
        <w:spacing w:line="600" w:lineRule="exact"/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一、主要内容</w:t>
      </w:r>
    </w:p>
    <w:p w14:paraId="28C7DDD7">
      <w:pPr>
        <w:spacing w:line="600" w:lineRule="exact"/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1、项目概况</w:t>
      </w:r>
    </w:p>
    <w:p w14:paraId="169651CE">
      <w:pPr>
        <w:spacing w:line="600" w:lineRule="exact"/>
        <w:ind w:firstLine="640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项目地块位于福清市中心城区园中片区的350181-05-G基本单元，距离福清站5.5KM，距离福清西站6.8KM，距离沈海高速宏路出入口5.6KM，周围交通区位条件较为便利，是福清市中部组团的重要组成部分。</w:t>
      </w:r>
    </w:p>
    <w:p w14:paraId="1FCD175E">
      <w:pPr>
        <w:spacing w:line="600" w:lineRule="exact"/>
        <w:ind w:firstLine="640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涉及拟调整地块1块，面积0.43公顷，涉及原地块编号为：350181-05-G-12。</w:t>
      </w:r>
    </w:p>
    <w:p w14:paraId="1A062839">
      <w:pPr>
        <w:spacing w:line="600" w:lineRule="exact"/>
        <w:ind w:firstLine="643" w:firstLineChars="200"/>
        <w:rPr>
          <w:rFonts w:ascii="仿宋_GB2312" w:hAnsi="等线" w:eastAsia="仿宋_GB2312"/>
          <w:sz w:val="32"/>
          <w:szCs w:val="32"/>
        </w:rPr>
      </w:pPr>
      <w:r>
        <w:rPr>
          <w:rFonts w:ascii="仿宋_GB2312" w:hAnsi="等线" w:eastAsia="仿宋_GB2312"/>
          <w:b/>
          <w:sz w:val="32"/>
          <w:szCs w:val="32"/>
        </w:rPr>
        <w:t>2</w:t>
      </w:r>
      <w:r>
        <w:rPr>
          <w:rFonts w:hint="eastAsia" w:ascii="仿宋_GB2312" w:hAnsi="等线" w:eastAsia="仿宋_GB2312"/>
          <w:b/>
          <w:sz w:val="32"/>
          <w:szCs w:val="32"/>
        </w:rPr>
        <w:t>、用地性质调整</w:t>
      </w:r>
    </w:p>
    <w:p w14:paraId="7941D996">
      <w:pPr>
        <w:tabs>
          <w:tab w:val="left" w:pos="720"/>
        </w:tabs>
        <w:spacing w:line="600" w:lineRule="exact"/>
        <w:ind w:firstLine="640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地块用地性质分类和代码参照最新《国土空间调查、规划、用途管制用地用海分类指南》</w:t>
      </w:r>
      <w:r>
        <w:rPr>
          <w:rFonts w:hint="eastAsia" w:ascii="仿宋_GB2312" w:eastAsia="仿宋_GB2312"/>
          <w:sz w:val="32"/>
          <w:szCs w:val="32"/>
        </w:rPr>
        <w:t>（以下简称“指南”）</w:t>
      </w:r>
      <w:r>
        <w:rPr>
          <w:rFonts w:hint="eastAsia" w:ascii="仿宋_GB2312" w:hAnsi="等线" w:eastAsia="仿宋_GB2312"/>
          <w:sz w:val="32"/>
          <w:szCs w:val="32"/>
        </w:rPr>
        <w:t>标准进行调整。</w:t>
      </w:r>
    </w:p>
    <w:p w14:paraId="6E454940">
      <w:pPr>
        <w:tabs>
          <w:tab w:val="left" w:pos="720"/>
        </w:tabs>
        <w:spacing w:line="600" w:lineRule="exact"/>
        <w:ind w:firstLine="640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原控规</w:t>
      </w:r>
      <w:r>
        <w:rPr>
          <w:rFonts w:ascii="仿宋_GB2312" w:hAnsi="等线" w:eastAsia="仿宋_GB2312"/>
          <w:sz w:val="32"/>
          <w:szCs w:val="32"/>
        </w:rPr>
        <w:t>350181-05-G-12</w:t>
      </w:r>
      <w:r>
        <w:rPr>
          <w:rFonts w:hint="eastAsia" w:ascii="仿宋_GB2312" w:hAnsi="等线" w:eastAsia="仿宋_GB2312"/>
          <w:sz w:val="32"/>
          <w:szCs w:val="32"/>
        </w:rPr>
        <w:t>交通枢纽用地（S3）调整为公共交通场站用地（120802），由城市用地分类转换为用地用海分类，不存在对原控规中强制性内容的影响。</w:t>
      </w:r>
    </w:p>
    <w:p w14:paraId="7317FC88">
      <w:pPr>
        <w:spacing w:line="600" w:lineRule="exact"/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ascii="仿宋_GB2312" w:hAnsi="等线" w:eastAsia="仿宋_GB2312"/>
          <w:b/>
          <w:sz w:val="32"/>
          <w:szCs w:val="32"/>
        </w:rPr>
        <w:t>3</w:t>
      </w:r>
      <w:r>
        <w:rPr>
          <w:rFonts w:hint="eastAsia" w:ascii="仿宋_GB2312" w:hAnsi="等线" w:eastAsia="仿宋_GB2312"/>
          <w:b/>
          <w:sz w:val="32"/>
          <w:szCs w:val="32"/>
        </w:rPr>
        <w:t>、地块控制指标</w:t>
      </w:r>
    </w:p>
    <w:p w14:paraId="7A3FD6FA">
      <w:pPr>
        <w:tabs>
          <w:tab w:val="left" w:pos="720"/>
        </w:tabs>
        <w:spacing w:line="600" w:lineRule="exact"/>
        <w:ind w:firstLine="640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调整后350181-04-</w:t>
      </w:r>
      <w:r>
        <w:rPr>
          <w:rFonts w:ascii="仿宋_GB2312" w:hAnsi="等线" w:eastAsia="仿宋_GB2312"/>
          <w:sz w:val="32"/>
          <w:szCs w:val="32"/>
        </w:rPr>
        <w:t>D-04</w:t>
      </w:r>
      <w:r>
        <w:rPr>
          <w:rFonts w:hint="eastAsia" w:ascii="仿宋_GB2312" w:hAnsi="等线" w:eastAsia="仿宋_GB2312"/>
          <w:sz w:val="32"/>
          <w:szCs w:val="32"/>
        </w:rPr>
        <w:t>公共交通场站用地容积率≤1.5，建筑密度≤25%，绿地率≥2</w:t>
      </w:r>
      <w:r>
        <w:rPr>
          <w:rFonts w:ascii="仿宋_GB2312" w:hAnsi="等线" w:eastAsia="仿宋_GB2312"/>
          <w:sz w:val="32"/>
          <w:szCs w:val="32"/>
        </w:rPr>
        <w:t>0</w:t>
      </w:r>
      <w:r>
        <w:rPr>
          <w:rFonts w:hint="eastAsia" w:ascii="仿宋_GB2312" w:hAnsi="等线" w:eastAsia="仿宋_GB2312"/>
          <w:sz w:val="32"/>
          <w:szCs w:val="32"/>
        </w:rPr>
        <w:t>%，建筑高度≤36米。</w:t>
      </w:r>
    </w:p>
    <w:p w14:paraId="7E273279">
      <w:pPr>
        <w:tabs>
          <w:tab w:val="left" w:pos="720"/>
        </w:tabs>
        <w:spacing w:line="600" w:lineRule="exact"/>
        <w:jc w:val="center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调整后地块控制指标一览表</w:t>
      </w:r>
    </w:p>
    <w:tbl>
      <w:tblPr>
        <w:tblStyle w:val="7"/>
        <w:tblW w:w="542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7"/>
        <w:gridCol w:w="876"/>
        <w:gridCol w:w="1687"/>
        <w:gridCol w:w="1258"/>
        <w:gridCol w:w="689"/>
        <w:gridCol w:w="1060"/>
        <w:gridCol w:w="1147"/>
        <w:gridCol w:w="934"/>
      </w:tblGrid>
      <w:tr w14:paraId="7F029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77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C83D53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地块编号</w:t>
            </w:r>
          </w:p>
        </w:tc>
        <w:tc>
          <w:tcPr>
            <w:tcW w:w="4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E56C3F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用地性质</w:t>
            </w:r>
          </w:p>
        </w:tc>
        <w:tc>
          <w:tcPr>
            <w:tcW w:w="93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769795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性质名称</w:t>
            </w:r>
          </w:p>
        </w:tc>
        <w:tc>
          <w:tcPr>
            <w:tcW w:w="69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A22225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地块面积（公顷）</w:t>
            </w:r>
          </w:p>
        </w:tc>
        <w:tc>
          <w:tcPr>
            <w:tcW w:w="38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04B84F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容积率</w:t>
            </w:r>
          </w:p>
        </w:tc>
        <w:tc>
          <w:tcPr>
            <w:tcW w:w="58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1FAADC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建筑密度（%）</w:t>
            </w:r>
          </w:p>
        </w:tc>
        <w:tc>
          <w:tcPr>
            <w:tcW w:w="63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EA6CA7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建筑高度（米）</w:t>
            </w:r>
          </w:p>
        </w:tc>
        <w:tc>
          <w:tcPr>
            <w:tcW w:w="51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56F506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绿地率（%）</w:t>
            </w:r>
          </w:p>
        </w:tc>
      </w:tr>
      <w:tr w14:paraId="726DA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77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4FEC91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05-G-12</w:t>
            </w:r>
          </w:p>
        </w:tc>
        <w:tc>
          <w:tcPr>
            <w:tcW w:w="4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333F6E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120802</w:t>
            </w:r>
          </w:p>
        </w:tc>
        <w:tc>
          <w:tcPr>
            <w:tcW w:w="93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15471D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公共交通场站用地</w:t>
            </w:r>
          </w:p>
        </w:tc>
        <w:tc>
          <w:tcPr>
            <w:tcW w:w="69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55E997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0.43</w:t>
            </w:r>
          </w:p>
        </w:tc>
        <w:tc>
          <w:tcPr>
            <w:tcW w:w="38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EF3FB1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≤1.5</w:t>
            </w:r>
          </w:p>
        </w:tc>
        <w:tc>
          <w:tcPr>
            <w:tcW w:w="58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6B2A44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≤25</w:t>
            </w:r>
          </w:p>
        </w:tc>
        <w:tc>
          <w:tcPr>
            <w:tcW w:w="63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4138B0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≤36</w:t>
            </w:r>
          </w:p>
        </w:tc>
        <w:tc>
          <w:tcPr>
            <w:tcW w:w="51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288471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≥</w:t>
            </w:r>
            <w:r>
              <w:rPr>
                <w:rFonts w:ascii="仿宋_GB2312" w:hAnsi="等线" w:eastAsia="仿宋_GB2312"/>
                <w:sz w:val="28"/>
                <w:szCs w:val="32"/>
              </w:rPr>
              <w:t>20</w:t>
            </w:r>
          </w:p>
        </w:tc>
      </w:tr>
    </w:tbl>
    <w:p w14:paraId="3008FAB8">
      <w:pPr>
        <w:tabs>
          <w:tab w:val="left" w:pos="720"/>
        </w:tabs>
        <w:spacing w:line="600" w:lineRule="exact"/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4、开发强度合理性</w:t>
      </w:r>
    </w:p>
    <w:p w14:paraId="63874101">
      <w:pPr>
        <w:tabs>
          <w:tab w:val="left" w:pos="720"/>
        </w:tabs>
        <w:spacing w:line="600" w:lineRule="exact"/>
        <w:ind w:firstLine="640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用地指标符合《福建省城市规划管理技术规定》《福州市国土空间规划管理技术规定（试行）》等。</w:t>
      </w:r>
    </w:p>
    <w:p w14:paraId="56D5AD3C">
      <w:pPr>
        <w:widowControl/>
        <w:jc w:val="left"/>
        <w:rPr>
          <w:rFonts w:ascii="仿宋_GB2312" w:hAnsi="等线" w:eastAsia="仿宋_GB2312"/>
          <w:sz w:val="32"/>
          <w:szCs w:val="32"/>
        </w:rPr>
      </w:pPr>
      <w:r>
        <w:rPr>
          <w:rFonts w:ascii="仿宋_GB2312" w:hAnsi="等线" w:eastAsia="仿宋_GB2312"/>
          <w:sz w:val="32"/>
          <w:szCs w:val="32"/>
        </w:rPr>
        <w:br w:type="page"/>
      </w:r>
    </w:p>
    <w:p w14:paraId="5E63C9E3">
      <w:pPr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二、规划图纸</w:t>
      </w:r>
    </w:p>
    <w:p w14:paraId="3544E34E">
      <w:pPr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1、调整土地使用规划图</w:t>
      </w:r>
    </w:p>
    <w:p w14:paraId="2ED0F902">
      <w:pPr>
        <w:adjustRightInd w:val="0"/>
        <w:snapToGrid w:val="0"/>
        <w:jc w:val="center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drawing>
          <wp:inline distT="0" distB="0" distL="0" distR="0">
            <wp:extent cx="5267960" cy="228600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9B1E">
      <w:pPr>
        <w:adjustRightInd w:val="0"/>
        <w:snapToGrid w:val="0"/>
        <w:jc w:val="center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 xml:space="preserve">原控规方案 </w:t>
      </w:r>
      <w:r>
        <w:rPr>
          <w:rFonts w:ascii="仿宋_GB2312" w:hAnsi="等线" w:eastAsia="仿宋_GB2312"/>
          <w:sz w:val="32"/>
          <w:szCs w:val="32"/>
        </w:rPr>
        <w:t xml:space="preserve">               </w:t>
      </w:r>
      <w:r>
        <w:rPr>
          <w:rFonts w:hint="eastAsia" w:ascii="仿宋_GB2312" w:hAnsi="等线" w:eastAsia="仿宋_GB2312"/>
          <w:sz w:val="32"/>
          <w:szCs w:val="32"/>
        </w:rPr>
        <w:t>调整后方案</w:t>
      </w:r>
    </w:p>
    <w:p w14:paraId="33649C20">
      <w:pPr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2、地块图则</w:t>
      </w:r>
    </w:p>
    <w:p w14:paraId="149B789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7485" cy="3732530"/>
            <wp:effectExtent l="0" t="0" r="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97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9441AA">
    <w:pPr>
      <w:pStyle w:val="4"/>
      <w:framePr w:w="1099" w:wrap="around" w:vAnchor="text" w:hAnchor="page" w:x="8998" w:y="-2"/>
      <w:jc w:val="both"/>
      <w:rPr>
        <w:rStyle w:val="9"/>
        <w:rFonts w:ascii="宋体" w:hAnsi="宋体"/>
        <w:sz w:val="28"/>
        <w:szCs w:val="28"/>
      </w:rPr>
    </w:pPr>
    <w:r>
      <w:rPr>
        <w:rStyle w:val="9"/>
        <w:rFonts w:hint="eastAsia" w:ascii="宋体" w:hAnsi="宋体"/>
        <w:sz w:val="28"/>
        <w:szCs w:val="28"/>
      </w:rPr>
      <w:fldChar w:fldCharType="begin"/>
    </w:r>
    <w:r>
      <w:rPr>
        <w:rStyle w:val="9"/>
        <w:rFonts w:hint="eastAsia" w:ascii="宋体" w:hAnsi="宋体"/>
        <w:sz w:val="28"/>
        <w:szCs w:val="28"/>
      </w:rPr>
      <w:instrText xml:space="preserve">PAGE  </w:instrText>
    </w:r>
    <w:r>
      <w:rPr>
        <w:rStyle w:val="9"/>
        <w:rFonts w:hint="eastAsia"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- 1 -</w:t>
    </w:r>
    <w:r>
      <w:rPr>
        <w:rStyle w:val="9"/>
        <w:rFonts w:hint="eastAsia" w:ascii="宋体" w:hAnsi="宋体"/>
        <w:sz w:val="28"/>
        <w:szCs w:val="28"/>
      </w:rPr>
      <w:fldChar w:fldCharType="end"/>
    </w:r>
    <w:r>
      <w:rPr>
        <w:rStyle w:val="9"/>
        <w:rFonts w:hint="eastAsia" w:ascii="宋体" w:hAnsi="宋体"/>
        <w:sz w:val="28"/>
        <w:szCs w:val="28"/>
      </w:rPr>
      <w:t xml:space="preserve">       </w:t>
    </w:r>
  </w:p>
  <w:p w14:paraId="5BA7E761">
    <w:pPr>
      <w:pStyle w:val="4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6E6D6">
    <w:pPr>
      <w:pStyle w:val="4"/>
      <w:framePr w:wrap="around" w:vAnchor="text" w:hAnchor="margin" w:xAlign="outside" w:y="1"/>
      <w:ind w:firstLine="280"/>
      <w:rPr>
        <w:rStyle w:val="9"/>
        <w:rFonts w:ascii="宋体" w:hAnsi="宋体"/>
        <w:sz w:val="28"/>
        <w:szCs w:val="28"/>
      </w:rPr>
    </w:pPr>
    <w:r>
      <w:rPr>
        <w:rStyle w:val="9"/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Style w:val="9"/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- 2 -</w:t>
    </w:r>
    <w:r>
      <w:rPr>
        <w:rStyle w:val="9"/>
        <w:rFonts w:ascii="宋体" w:hAnsi="宋体"/>
        <w:sz w:val="28"/>
        <w:szCs w:val="28"/>
      </w:rPr>
      <w:fldChar w:fldCharType="end"/>
    </w:r>
  </w:p>
  <w:p w14:paraId="70126952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xYjE5YTBiZjczNTlkZGJkYTZkMDA0Y2E5YzA5MTMifQ=="/>
  </w:docVars>
  <w:rsids>
    <w:rsidRoot w:val="00CD7E3F"/>
    <w:rsid w:val="000049E2"/>
    <w:rsid w:val="00073B6C"/>
    <w:rsid w:val="000B46E1"/>
    <w:rsid w:val="0020255F"/>
    <w:rsid w:val="002256BC"/>
    <w:rsid w:val="002A311F"/>
    <w:rsid w:val="002A4290"/>
    <w:rsid w:val="002F0595"/>
    <w:rsid w:val="002F24E1"/>
    <w:rsid w:val="003706BC"/>
    <w:rsid w:val="003D32E4"/>
    <w:rsid w:val="00470E0A"/>
    <w:rsid w:val="0049081B"/>
    <w:rsid w:val="004A6635"/>
    <w:rsid w:val="005152F1"/>
    <w:rsid w:val="00583C5D"/>
    <w:rsid w:val="00626E3B"/>
    <w:rsid w:val="00647D57"/>
    <w:rsid w:val="00666CB5"/>
    <w:rsid w:val="006864CD"/>
    <w:rsid w:val="006B2D5A"/>
    <w:rsid w:val="006B42E0"/>
    <w:rsid w:val="00704B03"/>
    <w:rsid w:val="008122C9"/>
    <w:rsid w:val="00871D5E"/>
    <w:rsid w:val="008D3F33"/>
    <w:rsid w:val="008E2EEF"/>
    <w:rsid w:val="009131FC"/>
    <w:rsid w:val="0093513E"/>
    <w:rsid w:val="00935C17"/>
    <w:rsid w:val="009460DA"/>
    <w:rsid w:val="00980CDD"/>
    <w:rsid w:val="009B718B"/>
    <w:rsid w:val="00A2119B"/>
    <w:rsid w:val="00A52237"/>
    <w:rsid w:val="00AB3857"/>
    <w:rsid w:val="00B50EAE"/>
    <w:rsid w:val="00BF4CC9"/>
    <w:rsid w:val="00C12562"/>
    <w:rsid w:val="00C140F3"/>
    <w:rsid w:val="00C14561"/>
    <w:rsid w:val="00C309F7"/>
    <w:rsid w:val="00C4015A"/>
    <w:rsid w:val="00C87BAF"/>
    <w:rsid w:val="00CC739A"/>
    <w:rsid w:val="00CD4A91"/>
    <w:rsid w:val="00CD7E3F"/>
    <w:rsid w:val="00CE2CB6"/>
    <w:rsid w:val="00DB5C65"/>
    <w:rsid w:val="00E31D1E"/>
    <w:rsid w:val="00EA6A75"/>
    <w:rsid w:val="00EE76D9"/>
    <w:rsid w:val="00F34384"/>
    <w:rsid w:val="00F956A3"/>
    <w:rsid w:val="00FB7B85"/>
    <w:rsid w:val="289902C8"/>
    <w:rsid w:val="4613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link w:val="10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page number"/>
    <w:basedOn w:val="8"/>
    <w:qFormat/>
    <w:uiPriority w:val="0"/>
  </w:style>
  <w:style w:type="character" w:customStyle="1" w:styleId="10">
    <w:name w:val="普通(网站) 字符"/>
    <w:link w:val="6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1">
    <w:name w:val="批注框文本 字符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903</Words>
  <Characters>1036</Characters>
  <Lines>7</Lines>
  <Paragraphs>2</Paragraphs>
  <TotalTime>19</TotalTime>
  <ScaleCrop>false</ScaleCrop>
  <LinksUpToDate>false</LinksUpToDate>
  <CharactersWithSpaces>1054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2024-10-12T02:17:00Z</dcterms:created>
  <dc:creator>User</dc:creator>
  <cp:lastModifiedBy>YYJ</cp:lastModifiedBy>
  <cp:lastPrinted>2018-11-14T01:23:00Z</cp:lastPrinted>
  <dcterms:modified xsi:type="dcterms:W3CDTF">2024-10-12T08:33:38Z</dcterms:modified>
  <dc:title>融规 [2012] 253号                  签发人：郑卫东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6CB16F4C6A1F431B8BB1524BD2E47BDD_13</vt:lpwstr>
  </property>
</Properties>
</file>