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uto"/>
        <w:rPr>
          <w:rFonts w:ascii="仿宋_GB2312" w:eastAsia="仿宋_GB2312"/>
          <w:b/>
          <w:sz w:val="32"/>
          <w:szCs w:val="32"/>
        </w:rPr>
      </w:pPr>
      <w:r>
        <w:rPr>
          <w:rFonts w:hint="eastAsia" w:ascii="仿宋_GB2312" w:eastAsia="仿宋_GB2312"/>
          <w:b/>
          <w:sz w:val="32"/>
          <w:szCs w:val="32"/>
        </w:rPr>
        <w:t>附件</w:t>
      </w:r>
    </w:p>
    <w:p>
      <w:pPr>
        <w:spacing w:line="540" w:lineRule="auto"/>
        <w:jc w:val="center"/>
        <w:rPr>
          <w:rFonts w:ascii="仿宋_GB2312" w:eastAsia="仿宋_GB2312"/>
          <w:b/>
          <w:sz w:val="32"/>
          <w:szCs w:val="32"/>
        </w:rPr>
      </w:pPr>
      <w:bookmarkStart w:id="0" w:name="_GoBack"/>
      <w:r>
        <w:rPr>
          <w:rFonts w:hint="eastAsia" w:ascii="仿宋_GB2312" w:eastAsia="仿宋_GB2312"/>
          <w:b/>
          <w:sz w:val="32"/>
          <w:szCs w:val="32"/>
        </w:rPr>
        <w:t>《福清市350181-09-I-14地块调整动态维护》主要内容及规划图纸</w:t>
      </w:r>
      <w:bookmarkEnd w:id="0"/>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一、主要内容</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1、项目概况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地块位于福清市中心城区东部新城片区的350181-09-I基本单元，距离福清火车站8KM，北至里美路、南至玛瑙路，西至北江滨路、东至规划支路，周围交通区位条件较为便利，是福清市东部新城片区的重要组成部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涉及拟调整地块1块，面积2.65公顷，涉及原地块编号为350181-09-I-14。</w:t>
      </w:r>
    </w:p>
    <w:p>
      <w:pPr>
        <w:spacing w:line="60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、调整必要性</w:t>
      </w:r>
    </w:p>
    <w:p>
      <w:pPr>
        <w:tabs>
          <w:tab w:val="left" w:pos="720"/>
        </w:tabs>
        <w:spacing w:line="600" w:lineRule="exact"/>
        <w:ind w:firstLine="640" w:firstLineChars="200"/>
        <w:rPr>
          <w:rFonts w:ascii="仿宋_GB2312" w:eastAsia="仿宋_GB2312"/>
          <w:sz w:val="32"/>
          <w:szCs w:val="32"/>
        </w:rPr>
      </w:pPr>
      <w:r>
        <w:rPr>
          <w:rFonts w:hint="eastAsia" w:ascii="仿宋_GB2312" w:eastAsia="仿宋_GB2312"/>
          <w:sz w:val="32"/>
          <w:szCs w:val="32"/>
        </w:rPr>
        <w:t>随着地块北侧城关小学第二校区、福清二中新校区的建设，需要加快周边地块开发，完善城市功能，改善人居环境，提升城市品质，该地块用地性质调整为商业用地后，有利于高标准建设东部新城，完善配套设施，推进产业发展。</w:t>
      </w:r>
    </w:p>
    <w:p>
      <w:pPr>
        <w:spacing w:line="600" w:lineRule="exact"/>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、规划调整方案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调整后用地性质350181-09-I-14（二类城镇住宅用地）调整为商业用地；</w:t>
      </w:r>
    </w:p>
    <w:p>
      <w:pPr>
        <w:spacing w:line="600" w:lineRule="exact"/>
        <w:ind w:firstLine="643" w:firstLineChars="200"/>
        <w:rPr>
          <w:rFonts w:ascii="仿宋_GB2312" w:eastAsia="仿宋_GB2312"/>
          <w:b/>
          <w:sz w:val="32"/>
          <w:szCs w:val="32"/>
        </w:rPr>
      </w:pPr>
      <w:r>
        <w:rPr>
          <w:rFonts w:ascii="仿宋_GB2312" w:eastAsia="仿宋_GB2312"/>
          <w:b/>
          <w:sz w:val="32"/>
          <w:szCs w:val="32"/>
        </w:rPr>
        <w:t>4</w:t>
      </w:r>
      <w:r>
        <w:rPr>
          <w:rFonts w:hint="eastAsia" w:ascii="仿宋_GB2312" w:eastAsia="仿宋_GB2312"/>
          <w:b/>
          <w:sz w:val="32"/>
          <w:szCs w:val="32"/>
        </w:rPr>
        <w:t>、调整可行性分析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（1）功能调整合理性</w:t>
      </w:r>
    </w:p>
    <w:p>
      <w:pPr>
        <w:tabs>
          <w:tab w:val="left" w:pos="720"/>
        </w:tabs>
        <w:spacing w:line="600" w:lineRule="exact"/>
        <w:ind w:firstLine="640" w:firstLineChars="200"/>
        <w:rPr>
          <w:rFonts w:ascii="仿宋_GB2312" w:eastAsia="仿宋_GB2312"/>
          <w:sz w:val="32"/>
          <w:szCs w:val="32"/>
        </w:rPr>
      </w:pPr>
      <w:r>
        <w:rPr>
          <w:rFonts w:hint="eastAsia" w:ascii="仿宋_GB2312" w:eastAsia="仿宋_GB2312"/>
          <w:sz w:val="32"/>
          <w:szCs w:val="32"/>
        </w:rPr>
        <w:t>1）东部新城元华路沿侧正在建设，该地块建设紧抓建设时机，开发完成后有利于承接元华路沿线用地及东部新城核心区商业中心联系；</w:t>
      </w:r>
    </w:p>
    <w:p>
      <w:pPr>
        <w:tabs>
          <w:tab w:val="left" w:pos="720"/>
        </w:tabs>
        <w:spacing w:line="600" w:lineRule="exact"/>
        <w:ind w:firstLine="640" w:firstLineChars="200"/>
        <w:rPr>
          <w:rFonts w:ascii="仿宋_GB2312" w:eastAsia="仿宋_GB2312"/>
          <w:sz w:val="32"/>
          <w:szCs w:val="32"/>
        </w:rPr>
      </w:pPr>
      <w:r>
        <w:rPr>
          <w:rFonts w:hint="eastAsia" w:ascii="仿宋_GB2312" w:eastAsia="仿宋_GB2312"/>
          <w:sz w:val="32"/>
          <w:szCs w:val="32"/>
        </w:rPr>
        <w:t>2）调整后片区商业用地规模增加，有利于提高片区服务水平，做大做强东部新城商业中心；有利于打造东部新城景观新节点，提高居民生活水平环境。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（2）开发强度指标合理性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调整后指标符合《福建省城市规划管理技术规定》《福建省城市控制性详细规划编制导则》等相关政策文件要求。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（3）开发容量合理性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调整后开发总量增加</w:t>
      </w:r>
      <w:r>
        <w:rPr>
          <w:rFonts w:ascii="仿宋_GB2312" w:eastAsia="仿宋_GB2312"/>
          <w:sz w:val="32"/>
          <w:szCs w:val="32"/>
        </w:rPr>
        <w:t>1.33</w:t>
      </w:r>
      <w:r>
        <w:rPr>
          <w:rFonts w:hint="eastAsia" w:ascii="仿宋_GB2312" w:eastAsia="仿宋_GB2312"/>
          <w:sz w:val="32"/>
          <w:szCs w:val="32"/>
        </w:rPr>
        <w:t>万</w:t>
      </w:r>
      <w:r>
        <w:rPr>
          <w:rFonts w:hint="eastAsia" w:ascii="Segoe UI Symbol" w:hAnsi="Segoe UI Symbol" w:eastAsia="Segoe UI Symbol" w:cs="Segoe UI Symbol"/>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（4）配套设施合理性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给水工程。地块调整后，用水量减少</w:t>
      </w:r>
      <w:r>
        <w:rPr>
          <w:rFonts w:ascii="仿宋_GB2312" w:eastAsia="仿宋_GB2312"/>
          <w:sz w:val="32"/>
          <w:szCs w:val="32"/>
        </w:rPr>
        <w:t>26.5</w:t>
      </w:r>
      <w:r>
        <w:rPr>
          <w:rFonts w:hint="eastAsia" w:ascii="仿宋_GB2312" w:eastAsia="仿宋_GB2312"/>
          <w:sz w:val="32"/>
          <w:szCs w:val="32"/>
        </w:rPr>
        <w:t>m</w:t>
      </w:r>
      <w:r>
        <w:rPr>
          <w:rFonts w:ascii="仿宋_GB2312" w:eastAsia="仿宋_GB2312"/>
          <w:sz w:val="32"/>
          <w:szCs w:val="32"/>
        </w:rPr>
        <w:t>³</w:t>
      </w:r>
      <w:r>
        <w:rPr>
          <w:rFonts w:hint="eastAsia" w:ascii="仿宋_GB2312" w:eastAsia="仿宋_GB2312"/>
          <w:sz w:val="32"/>
          <w:szCs w:val="32"/>
        </w:rPr>
        <w:t>/d ，不影响观音埔水厂和宏路水厂对控规的用水总量供给，对供水设施无影响。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污水工程。地块调整后，平均日旱流污水量减少</w:t>
      </w:r>
      <w:r>
        <w:rPr>
          <w:rFonts w:ascii="仿宋_GB2312" w:eastAsia="仿宋_GB2312"/>
          <w:sz w:val="32"/>
          <w:szCs w:val="32"/>
        </w:rPr>
        <w:t>20.2</w:t>
      </w:r>
      <w:r>
        <w:rPr>
          <w:rFonts w:hint="eastAsia" w:ascii="仿宋_GB2312" w:eastAsia="仿宋_GB2312"/>
          <w:sz w:val="32"/>
          <w:szCs w:val="32"/>
        </w:rPr>
        <w:t>m</w:t>
      </w:r>
      <w:r>
        <w:rPr>
          <w:rFonts w:ascii="仿宋_GB2312" w:eastAsia="仿宋_GB2312"/>
          <w:sz w:val="32"/>
          <w:szCs w:val="32"/>
        </w:rPr>
        <w:t>³</w:t>
      </w:r>
      <w:r>
        <w:rPr>
          <w:rFonts w:hint="eastAsia" w:ascii="仿宋_GB2312" w:eastAsia="仿宋_GB2312"/>
          <w:sz w:val="32"/>
          <w:szCs w:val="32"/>
        </w:rPr>
        <w:t>/d，不影响融元污水处理厂污水处理能力。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电力工程。地块调整后，用电量增加</w:t>
      </w:r>
      <w:r>
        <w:rPr>
          <w:rFonts w:ascii="仿宋_GB2312" w:eastAsia="仿宋_GB2312"/>
          <w:sz w:val="32"/>
          <w:szCs w:val="32"/>
        </w:rPr>
        <w:t>1457.5</w:t>
      </w:r>
      <w:r>
        <w:rPr>
          <w:rFonts w:hint="eastAsia" w:ascii="仿宋_GB2312" w:eastAsia="仿宋_GB2312"/>
          <w:sz w:val="32"/>
          <w:szCs w:val="32"/>
        </w:rPr>
        <w:t>kW ，用地负荷增长较小，不影响220KV塘头变、110kV先强变等变电站供电能力。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通信工程。</w:t>
      </w:r>
      <w:r>
        <w:rPr>
          <w:rFonts w:hint="eastAsia" w:ascii="仿宋_GB2312" w:hAnsi="仿宋_GB2312" w:eastAsia="仿宋_GB2312" w:cs="仿宋_GB2312"/>
          <w:sz w:val="32"/>
          <w:szCs w:val="32"/>
        </w:rPr>
        <w:t>地块调整后，</w:t>
      </w:r>
      <w:r>
        <w:rPr>
          <w:rFonts w:hint="eastAsia" w:ascii="仿宋_GB2312" w:eastAsia="仿宋_GB2312"/>
          <w:sz w:val="32"/>
          <w:szCs w:val="32"/>
        </w:rPr>
        <w:t>固话、宽带用户数减少</w:t>
      </w:r>
      <w:r>
        <w:rPr>
          <w:rFonts w:ascii="仿宋_GB2312" w:eastAsia="仿宋_GB2312"/>
          <w:sz w:val="32"/>
          <w:szCs w:val="32"/>
        </w:rPr>
        <w:t>530</w:t>
      </w:r>
      <w:r>
        <w:rPr>
          <w:rFonts w:hint="eastAsia" w:ascii="仿宋_GB2312" w:eastAsia="仿宋_GB2312"/>
          <w:sz w:val="32"/>
          <w:szCs w:val="32"/>
        </w:rPr>
        <w:t>个。移动通信用户减少</w:t>
      </w:r>
      <w:r>
        <w:rPr>
          <w:rFonts w:ascii="仿宋_GB2312" w:eastAsia="仿宋_GB2312"/>
          <w:sz w:val="32"/>
          <w:szCs w:val="32"/>
        </w:rPr>
        <w:t>1166</w:t>
      </w:r>
      <w:r>
        <w:rPr>
          <w:rFonts w:hint="eastAsia" w:ascii="仿宋_GB2312" w:eastAsia="仿宋_GB2312"/>
          <w:sz w:val="32"/>
          <w:szCs w:val="32"/>
        </w:rPr>
        <w:t>个卡号。不影响通信设施能力。</w:t>
      </w:r>
    </w:p>
    <w:p>
      <w:pPr>
        <w:widowControl/>
        <w:jc w:val="left"/>
        <w:rPr>
          <w:rFonts w:ascii="仿宋_GB2312" w:eastAsia="仿宋_GB2312"/>
          <w:sz w:val="32"/>
          <w:szCs w:val="32"/>
        </w:rPr>
      </w:pPr>
      <w:r>
        <w:rPr>
          <w:rFonts w:ascii="仿宋_GB2312" w:eastAsia="仿宋_GB2312"/>
          <w:sz w:val="32"/>
          <w:szCs w:val="32"/>
        </w:rPr>
        <w:br w:type="page"/>
      </w:r>
    </w:p>
    <w:p>
      <w:pPr>
        <w:ind w:firstLine="643" w:firstLineChars="200"/>
        <w:rPr>
          <w:rFonts w:ascii="仿宋_GB2312" w:eastAsia="仿宋_GB2312"/>
          <w:b/>
          <w:sz w:val="32"/>
          <w:szCs w:val="32"/>
        </w:rPr>
      </w:pPr>
      <w:r>
        <w:rPr>
          <w:rFonts w:hint="eastAsia" w:ascii="仿宋_GB2312" w:eastAsia="仿宋_GB2312"/>
          <w:b/>
          <w:sz w:val="32"/>
          <w:szCs w:val="32"/>
        </w:rPr>
        <w:t>二、规划图纸</w:t>
      </w:r>
    </w:p>
    <w:p>
      <w:pPr>
        <w:ind w:firstLine="643" w:firstLineChars="200"/>
        <w:rPr>
          <w:rFonts w:ascii="仿宋_GB2312" w:eastAsia="仿宋_GB2312"/>
          <w:b/>
          <w:sz w:val="32"/>
          <w:szCs w:val="32"/>
        </w:rPr>
      </w:pPr>
      <w:r>
        <w:rPr>
          <w:rFonts w:hint="eastAsia" w:ascii="仿宋_GB2312" w:eastAsia="仿宋_GB2312"/>
          <w:b/>
          <w:sz w:val="32"/>
          <w:szCs w:val="32"/>
        </w:rPr>
        <w:t>1、地块图则</w:t>
      </w:r>
    </w:p>
    <w:p>
      <w:pPr>
        <w:rPr>
          <w:rFonts w:ascii="仿宋_GB2312" w:eastAsia="仿宋_GB2312"/>
          <w:b/>
          <w:sz w:val="32"/>
          <w:szCs w:val="32"/>
        </w:rPr>
      </w:pPr>
      <w:r>
        <w:rPr>
          <w:rFonts w:ascii="仿宋_GB2312" w:eastAsia="仿宋_GB2312"/>
          <w:b/>
          <w:sz w:val="32"/>
          <w:szCs w:val="32"/>
        </w:rPr>
        <w:drawing>
          <wp:inline distT="0" distB="0" distL="0" distR="0">
            <wp:extent cx="5278120" cy="37338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8120" cy="3733800"/>
                    </a:xfrm>
                    <a:prstGeom prst="rect">
                      <a:avLst/>
                    </a:prstGeom>
                  </pic:spPr>
                </pic:pic>
              </a:graphicData>
            </a:graphic>
          </wp:inline>
        </w:drawing>
      </w:r>
    </w:p>
    <w:p>
      <w:pPr>
        <w:rPr>
          <w:rFonts w:ascii="仿宋_GB2312" w:eastAsia="仿宋_GB2312"/>
          <w:b/>
          <w:sz w:val="32"/>
          <w:szCs w:val="32"/>
        </w:rPr>
      </w:pPr>
    </w:p>
    <w:p>
      <w:pPr>
        <w:rPr>
          <w:rFonts w:ascii="仿宋_GB2312" w:eastAsia="仿宋_GB2312"/>
          <w:b/>
          <w:sz w:val="32"/>
          <w:szCs w:val="32"/>
        </w:rPr>
      </w:pPr>
    </w:p>
    <w:p>
      <w:pPr>
        <w:ind w:firstLine="643" w:firstLineChars="200"/>
        <w:rPr>
          <w:rFonts w:ascii="仿宋_GB2312" w:eastAsia="仿宋_GB2312"/>
          <w:b/>
          <w:sz w:val="32"/>
          <w:szCs w:val="32"/>
        </w:rPr>
      </w:pPr>
    </w:p>
    <w:p>
      <w:pPr>
        <w:widowControl/>
        <w:jc w:val="left"/>
        <w:rPr>
          <w:rFonts w:ascii="仿宋_GB2312" w:eastAsia="仿宋_GB2312"/>
          <w:b/>
          <w:sz w:val="32"/>
          <w:szCs w:val="32"/>
        </w:rPr>
      </w:pP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099" w:wrap="around" w:vAnchor="text" w:hAnchor="page" w:x="8998" w:y="-2"/>
      <w:jc w:val="both"/>
      <w:rPr>
        <w:rStyle w:val="9"/>
        <w:rFonts w:ascii="宋体" w:hAnsi="宋体"/>
        <w:sz w:val="28"/>
        <w:szCs w:val="28"/>
      </w:rPr>
    </w:pPr>
    <w:r>
      <w:rPr>
        <w:rStyle w:val="9"/>
        <w:rFonts w:hint="eastAsia" w:ascii="宋体" w:hAnsi="宋体"/>
        <w:sz w:val="28"/>
        <w:szCs w:val="28"/>
      </w:rPr>
      <w:fldChar w:fldCharType="begin"/>
    </w:r>
    <w:r>
      <w:rPr>
        <w:rStyle w:val="9"/>
        <w:rFonts w:hint="eastAsia" w:ascii="宋体" w:hAnsi="宋体"/>
        <w:sz w:val="28"/>
        <w:szCs w:val="28"/>
      </w:rPr>
      <w:instrText xml:space="preserve">PAGE  </w:instrText>
    </w:r>
    <w:r>
      <w:rPr>
        <w:rStyle w:val="9"/>
        <w:rFonts w:hint="eastAsia" w:ascii="宋体" w:hAnsi="宋体"/>
        <w:sz w:val="28"/>
        <w:szCs w:val="28"/>
      </w:rPr>
      <w:fldChar w:fldCharType="separate"/>
    </w:r>
    <w:r>
      <w:rPr>
        <w:rStyle w:val="9"/>
        <w:rFonts w:ascii="宋体" w:hAnsi="宋体"/>
        <w:sz w:val="28"/>
        <w:szCs w:val="28"/>
      </w:rPr>
      <w:t>- 3 -</w:t>
    </w:r>
    <w:r>
      <w:rPr>
        <w:rStyle w:val="9"/>
        <w:rFonts w:hint="eastAsia" w:ascii="宋体" w:hAnsi="宋体"/>
        <w:sz w:val="28"/>
        <w:szCs w:val="28"/>
      </w:rPr>
      <w:fldChar w:fldCharType="end"/>
    </w:r>
    <w:r>
      <w:rPr>
        <w:rStyle w:val="9"/>
        <w:rFonts w:hint="eastAsia" w:ascii="宋体" w:hAnsi="宋体"/>
        <w:sz w:val="28"/>
        <w:szCs w:val="28"/>
      </w:rPr>
      <w:t xml:space="preserve">       </w:t>
    </w:r>
  </w:p>
  <w:p>
    <w:pPr>
      <w:pStyle w:val="4"/>
      <w:ind w:right="360" w:firstLine="360"/>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- 4 -</w:t>
    </w:r>
    <w:r>
      <w:rPr>
        <w:rStyle w:val="9"/>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0Mjk0NThmZDNjMjQ2YjlhMzE3Njk0MGY0ODFmNjQifQ=="/>
  </w:docVars>
  <w:rsids>
    <w:rsidRoot w:val="00CD7E3F"/>
    <w:rsid w:val="0003075A"/>
    <w:rsid w:val="00073B6C"/>
    <w:rsid w:val="00082265"/>
    <w:rsid w:val="00083A10"/>
    <w:rsid w:val="000C0C8A"/>
    <w:rsid w:val="00136BA3"/>
    <w:rsid w:val="00145290"/>
    <w:rsid w:val="00166C6E"/>
    <w:rsid w:val="00177DC8"/>
    <w:rsid w:val="00197E90"/>
    <w:rsid w:val="002329EF"/>
    <w:rsid w:val="0029627B"/>
    <w:rsid w:val="002A7811"/>
    <w:rsid w:val="002B2474"/>
    <w:rsid w:val="003264DF"/>
    <w:rsid w:val="003266A9"/>
    <w:rsid w:val="00334404"/>
    <w:rsid w:val="00377466"/>
    <w:rsid w:val="003D32E4"/>
    <w:rsid w:val="003F4764"/>
    <w:rsid w:val="0044715A"/>
    <w:rsid w:val="004862EA"/>
    <w:rsid w:val="0049353C"/>
    <w:rsid w:val="004E79B3"/>
    <w:rsid w:val="00583C5D"/>
    <w:rsid w:val="005D470B"/>
    <w:rsid w:val="00605426"/>
    <w:rsid w:val="00623716"/>
    <w:rsid w:val="00626E3B"/>
    <w:rsid w:val="006404DB"/>
    <w:rsid w:val="0064537D"/>
    <w:rsid w:val="00662CE2"/>
    <w:rsid w:val="00667483"/>
    <w:rsid w:val="006B1EFC"/>
    <w:rsid w:val="006B2B89"/>
    <w:rsid w:val="006E5DCD"/>
    <w:rsid w:val="00752DD6"/>
    <w:rsid w:val="00771A40"/>
    <w:rsid w:val="00773384"/>
    <w:rsid w:val="0078012D"/>
    <w:rsid w:val="00787316"/>
    <w:rsid w:val="007D3B58"/>
    <w:rsid w:val="007E7805"/>
    <w:rsid w:val="00801278"/>
    <w:rsid w:val="0080357E"/>
    <w:rsid w:val="00821368"/>
    <w:rsid w:val="008551EC"/>
    <w:rsid w:val="00884FF3"/>
    <w:rsid w:val="00952DE1"/>
    <w:rsid w:val="00964AD6"/>
    <w:rsid w:val="00973A2E"/>
    <w:rsid w:val="009F3FB4"/>
    <w:rsid w:val="00AC561B"/>
    <w:rsid w:val="00AF7912"/>
    <w:rsid w:val="00B23932"/>
    <w:rsid w:val="00B30B6E"/>
    <w:rsid w:val="00B927E5"/>
    <w:rsid w:val="00B97B6C"/>
    <w:rsid w:val="00BA5242"/>
    <w:rsid w:val="00BB6FF7"/>
    <w:rsid w:val="00BF7A60"/>
    <w:rsid w:val="00C23C1C"/>
    <w:rsid w:val="00C85F98"/>
    <w:rsid w:val="00C928AE"/>
    <w:rsid w:val="00CB0717"/>
    <w:rsid w:val="00CD7E3F"/>
    <w:rsid w:val="00D5283A"/>
    <w:rsid w:val="00D57799"/>
    <w:rsid w:val="00D86481"/>
    <w:rsid w:val="00DB77B1"/>
    <w:rsid w:val="00DC176A"/>
    <w:rsid w:val="00E13ECA"/>
    <w:rsid w:val="00E314CD"/>
    <w:rsid w:val="00E429E2"/>
    <w:rsid w:val="00E84063"/>
    <w:rsid w:val="00E85898"/>
    <w:rsid w:val="00EE6185"/>
    <w:rsid w:val="00F1355A"/>
    <w:rsid w:val="00F263B4"/>
    <w:rsid w:val="00F31168"/>
    <w:rsid w:val="00F76260"/>
    <w:rsid w:val="00F76B17"/>
    <w:rsid w:val="00F8012B"/>
    <w:rsid w:val="00FD5961"/>
    <w:rsid w:val="200F1D0F"/>
    <w:rsid w:val="461313D5"/>
    <w:rsid w:val="4739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autoRedefine/>
    <w:qFormat/>
    <w:uiPriority w:val="0"/>
    <w:pPr>
      <w:ind w:left="100"/>
    </w:pPr>
  </w:style>
  <w:style w:type="paragraph" w:styleId="3">
    <w:name w:val="Balloon Text"/>
    <w:basedOn w:val="1"/>
    <w:link w:val="1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0"/>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autoRedefine/>
    <w:qFormat/>
    <w:uiPriority w:val="0"/>
  </w:style>
  <w:style w:type="character" w:customStyle="1" w:styleId="10">
    <w:name w:val="普通(网站) 字符"/>
    <w:link w:val="6"/>
    <w:autoRedefine/>
    <w:qFormat/>
    <w:uiPriority w:val="0"/>
    <w:rPr>
      <w:rFonts w:ascii="宋体" w:hAnsi="宋体" w:eastAsia="宋体" w:cs="宋体"/>
      <w:sz w:val="24"/>
      <w:szCs w:val="24"/>
      <w:lang w:val="en-US" w:eastAsia="zh-CN" w:bidi="ar-SA"/>
    </w:rPr>
  </w:style>
  <w:style w:type="character" w:customStyle="1" w:styleId="11">
    <w:name w:val="批注框文本 字符"/>
    <w:basedOn w:val="8"/>
    <w:link w:val="3"/>
    <w:qFormat/>
    <w:uiPriority w:val="0"/>
    <w:rPr>
      <w:kern w:val="2"/>
      <w:sz w:val="18"/>
      <w:szCs w:val="18"/>
    </w:rPr>
  </w:style>
  <w:style w:type="paragraph" w:styleId="12">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B575-12C1-499B-9500-BE6848319C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142</Words>
  <Characters>810</Characters>
  <Lines>6</Lines>
  <Paragraphs>1</Paragraphs>
  <TotalTime>5</TotalTime>
  <ScaleCrop>false</ScaleCrop>
  <LinksUpToDate>false</LinksUpToDate>
  <CharactersWithSpaces>951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2024-04-07T00:59:00Z</dcterms:created>
  <dc:creator>User</dc:creator>
  <cp:lastModifiedBy>高</cp:lastModifiedBy>
  <cp:lastPrinted>2018-11-14T01:23:00Z</cp:lastPrinted>
  <dcterms:modified xsi:type="dcterms:W3CDTF">2024-04-07T07:52:16Z</dcterms:modified>
  <dc:title>融规 [2012] 253号                  签发人：郑卫东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4F8AA668ABEC45598A11269F7FD8B1E6_12</vt:lpwstr>
  </property>
</Properties>
</file>